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18" w:rsidRPr="00215545" w:rsidRDefault="00763118" w:rsidP="00F60CAC">
      <w:pPr>
        <w:spacing w:line="240" w:lineRule="auto"/>
        <w:jc w:val="center"/>
        <w:rPr>
          <w:rFonts w:ascii="Arial" w:hAnsi="Arial" w:cs="Arial"/>
          <w:b/>
          <w:sz w:val="32"/>
          <w:szCs w:val="32"/>
        </w:rPr>
      </w:pPr>
      <w:r w:rsidRPr="00215545">
        <w:rPr>
          <w:rFonts w:ascii="Arial" w:hAnsi="Arial" w:cs="Arial"/>
          <w:b/>
          <w:sz w:val="32"/>
          <w:szCs w:val="32"/>
        </w:rPr>
        <w:t>PORTUGAL AND POLAND: TWO DIFFERENT TALES ON EXPORT PERFORMANCE TO THE EUROPEAN UNION IN THE 2000</w:t>
      </w:r>
      <w:r w:rsidR="00DB3A80">
        <w:rPr>
          <w:rFonts w:ascii="Arial" w:hAnsi="Arial" w:cs="Arial"/>
          <w:b/>
          <w:sz w:val="32"/>
          <w:szCs w:val="32"/>
        </w:rPr>
        <w:t>’</w:t>
      </w:r>
      <w:r w:rsidRPr="00215545">
        <w:rPr>
          <w:rFonts w:ascii="Arial" w:hAnsi="Arial" w:cs="Arial"/>
          <w:b/>
          <w:sz w:val="32"/>
          <w:szCs w:val="32"/>
        </w:rPr>
        <w:t>S</w:t>
      </w:r>
    </w:p>
    <w:p w:rsidR="00763118" w:rsidRPr="004769AE" w:rsidRDefault="00763118" w:rsidP="00F60CAC">
      <w:pPr>
        <w:spacing w:after="0" w:line="240" w:lineRule="auto"/>
        <w:jc w:val="center"/>
        <w:outlineLvl w:val="0"/>
        <w:rPr>
          <w:rFonts w:ascii="Arial" w:hAnsi="Arial"/>
        </w:rPr>
      </w:pPr>
      <w:r>
        <w:rPr>
          <w:rFonts w:ascii="Arial" w:hAnsi="Arial"/>
        </w:rPr>
        <w:t>CHRISTOPHER MARQUES</w:t>
      </w:r>
    </w:p>
    <w:p w:rsidR="00763118" w:rsidRPr="004769AE" w:rsidRDefault="00763118" w:rsidP="00F60CAC">
      <w:pPr>
        <w:spacing w:after="0" w:line="240" w:lineRule="auto"/>
        <w:jc w:val="center"/>
        <w:outlineLvl w:val="0"/>
        <w:rPr>
          <w:rFonts w:ascii="Arial" w:hAnsi="Arial"/>
        </w:rPr>
      </w:pPr>
      <w:r>
        <w:rPr>
          <w:rFonts w:ascii="Arial" w:hAnsi="Arial"/>
        </w:rPr>
        <w:t>ISEG</w:t>
      </w:r>
    </w:p>
    <w:p w:rsidR="00763118" w:rsidRPr="004769AE" w:rsidRDefault="00763118" w:rsidP="00F60CAC">
      <w:pPr>
        <w:spacing w:after="0" w:line="240" w:lineRule="auto"/>
        <w:jc w:val="center"/>
        <w:outlineLvl w:val="0"/>
        <w:rPr>
          <w:rFonts w:ascii="Arial" w:hAnsi="Arial"/>
        </w:rPr>
      </w:pPr>
      <w:r>
        <w:rPr>
          <w:rFonts w:ascii="Arial" w:hAnsi="Arial"/>
        </w:rPr>
        <w:t>University of Lisbon</w:t>
      </w:r>
    </w:p>
    <w:p w:rsidR="00763118" w:rsidRPr="00EE1BC8" w:rsidRDefault="00763118" w:rsidP="00F60CAC">
      <w:pPr>
        <w:spacing w:after="0" w:line="240" w:lineRule="auto"/>
        <w:jc w:val="center"/>
        <w:outlineLvl w:val="0"/>
        <w:rPr>
          <w:rFonts w:ascii="Arial" w:hAnsi="Arial"/>
          <w:lang w:val="pt-PT"/>
        </w:rPr>
      </w:pPr>
      <w:r w:rsidRPr="00EE1BC8">
        <w:rPr>
          <w:rFonts w:ascii="Arial" w:hAnsi="Arial"/>
          <w:lang w:val="pt-PT"/>
        </w:rPr>
        <w:t>Portugal</w:t>
      </w:r>
    </w:p>
    <w:p w:rsidR="00215545" w:rsidRPr="00EE1BC8" w:rsidRDefault="00CE22DB" w:rsidP="00F60CAC">
      <w:pPr>
        <w:spacing w:after="0" w:line="240" w:lineRule="auto"/>
        <w:jc w:val="center"/>
        <w:outlineLvl w:val="0"/>
        <w:rPr>
          <w:rFonts w:ascii="Arial" w:hAnsi="Arial"/>
          <w:lang w:val="pt-PT"/>
        </w:rPr>
      </w:pPr>
      <w:proofErr w:type="gramStart"/>
      <w:r w:rsidRPr="00EE1BC8">
        <w:rPr>
          <w:rFonts w:ascii="Arial" w:hAnsi="Arial"/>
          <w:lang w:val="pt-PT"/>
        </w:rPr>
        <w:t>c</w:t>
      </w:r>
      <w:r w:rsidR="00181BD8" w:rsidRPr="00EE1BC8">
        <w:rPr>
          <w:rFonts w:ascii="Arial" w:hAnsi="Arial"/>
          <w:lang w:val="pt-PT"/>
        </w:rPr>
        <w:t>amarques.pt</w:t>
      </w:r>
      <w:r w:rsidR="00F60CAC" w:rsidRPr="00EE1BC8">
        <w:rPr>
          <w:rFonts w:ascii="Arial" w:hAnsi="Arial"/>
          <w:lang w:val="pt-PT"/>
        </w:rPr>
        <w:t>@</w:t>
      </w:r>
      <w:r w:rsidR="00181BD8" w:rsidRPr="00EE1BC8">
        <w:rPr>
          <w:rFonts w:ascii="Arial" w:hAnsi="Arial"/>
          <w:lang w:val="pt-PT"/>
        </w:rPr>
        <w:t>gmail</w:t>
      </w:r>
      <w:r w:rsidR="00F60CAC" w:rsidRPr="00EE1BC8">
        <w:rPr>
          <w:rFonts w:ascii="Arial" w:hAnsi="Arial"/>
          <w:lang w:val="pt-PT"/>
        </w:rPr>
        <w:t>.</w:t>
      </w:r>
      <w:r w:rsidR="00181BD8" w:rsidRPr="00EE1BC8">
        <w:rPr>
          <w:rFonts w:ascii="Arial" w:hAnsi="Arial"/>
          <w:lang w:val="pt-PT"/>
        </w:rPr>
        <w:t>com</w:t>
      </w:r>
      <w:proofErr w:type="gramEnd"/>
    </w:p>
    <w:p w:rsidR="00F60CAC" w:rsidRPr="00EE1BC8" w:rsidRDefault="00F60CAC" w:rsidP="00F60CAC">
      <w:pPr>
        <w:spacing w:after="0" w:line="240" w:lineRule="auto"/>
        <w:jc w:val="center"/>
        <w:outlineLvl w:val="0"/>
        <w:rPr>
          <w:rFonts w:ascii="Arial" w:hAnsi="Arial"/>
          <w:lang w:val="pt-PT"/>
        </w:rPr>
      </w:pPr>
    </w:p>
    <w:p w:rsidR="00763118" w:rsidRPr="00EE1BC8" w:rsidRDefault="00763118" w:rsidP="00F60CAC">
      <w:pPr>
        <w:spacing w:after="0" w:line="240" w:lineRule="auto"/>
        <w:jc w:val="center"/>
        <w:outlineLvl w:val="0"/>
        <w:rPr>
          <w:rFonts w:ascii="Arial" w:hAnsi="Arial"/>
          <w:lang w:val="pt-PT"/>
        </w:rPr>
      </w:pPr>
      <w:r w:rsidRPr="00EE1BC8">
        <w:rPr>
          <w:rFonts w:ascii="Arial" w:hAnsi="Arial"/>
          <w:lang w:val="pt-PT"/>
        </w:rPr>
        <w:t>INÊS PAULINO</w:t>
      </w:r>
    </w:p>
    <w:p w:rsidR="00763118" w:rsidRPr="004769AE" w:rsidRDefault="00763118" w:rsidP="00F60CAC">
      <w:pPr>
        <w:spacing w:after="0" w:line="240" w:lineRule="auto"/>
        <w:jc w:val="center"/>
        <w:outlineLvl w:val="0"/>
        <w:rPr>
          <w:rFonts w:ascii="Arial" w:hAnsi="Arial"/>
        </w:rPr>
      </w:pPr>
      <w:r>
        <w:rPr>
          <w:rFonts w:ascii="Arial" w:hAnsi="Arial"/>
        </w:rPr>
        <w:t>ISEG</w:t>
      </w:r>
    </w:p>
    <w:p w:rsidR="00763118" w:rsidRPr="004769AE" w:rsidRDefault="00763118" w:rsidP="00F60CAC">
      <w:pPr>
        <w:spacing w:after="0" w:line="240" w:lineRule="auto"/>
        <w:jc w:val="center"/>
        <w:outlineLvl w:val="0"/>
        <w:rPr>
          <w:rFonts w:ascii="Arial" w:hAnsi="Arial"/>
        </w:rPr>
      </w:pPr>
      <w:r>
        <w:rPr>
          <w:rFonts w:ascii="Arial" w:hAnsi="Arial"/>
        </w:rPr>
        <w:t>University of Lisbon</w:t>
      </w:r>
    </w:p>
    <w:p w:rsidR="00763118" w:rsidRPr="004769AE" w:rsidRDefault="00763118" w:rsidP="00F60CAC">
      <w:pPr>
        <w:spacing w:after="0" w:line="240" w:lineRule="auto"/>
        <w:jc w:val="center"/>
        <w:outlineLvl w:val="0"/>
        <w:rPr>
          <w:rFonts w:ascii="Arial" w:hAnsi="Arial"/>
        </w:rPr>
      </w:pPr>
      <w:r>
        <w:rPr>
          <w:rFonts w:ascii="Arial" w:hAnsi="Arial"/>
        </w:rPr>
        <w:t>Portugal</w:t>
      </w:r>
    </w:p>
    <w:p w:rsidR="00215545" w:rsidRDefault="00181BD8" w:rsidP="00F60CAC">
      <w:pPr>
        <w:spacing w:after="0" w:line="240" w:lineRule="auto"/>
        <w:jc w:val="center"/>
        <w:outlineLvl w:val="0"/>
        <w:rPr>
          <w:rFonts w:ascii="Arial" w:hAnsi="Arial"/>
        </w:rPr>
      </w:pPr>
      <w:r>
        <w:rPr>
          <w:rFonts w:ascii="Arial" w:hAnsi="Arial"/>
        </w:rPr>
        <w:t>ivpaulino</w:t>
      </w:r>
      <w:r w:rsidR="00F60CAC" w:rsidRPr="00181BD8">
        <w:rPr>
          <w:rFonts w:ascii="Arial" w:hAnsi="Arial"/>
        </w:rPr>
        <w:t>@</w:t>
      </w:r>
      <w:r>
        <w:rPr>
          <w:rFonts w:ascii="Arial" w:hAnsi="Arial"/>
        </w:rPr>
        <w:t>gmail.com</w:t>
      </w:r>
    </w:p>
    <w:p w:rsidR="00F60CAC" w:rsidRPr="00215545" w:rsidRDefault="00F60CAC" w:rsidP="00F60CAC">
      <w:pPr>
        <w:spacing w:after="0" w:line="240" w:lineRule="auto"/>
        <w:jc w:val="center"/>
        <w:outlineLvl w:val="0"/>
        <w:rPr>
          <w:rFonts w:ascii="Arial" w:hAnsi="Arial"/>
        </w:rPr>
      </w:pPr>
    </w:p>
    <w:p w:rsidR="00763118" w:rsidRPr="004769AE" w:rsidRDefault="00763118" w:rsidP="00F60CAC">
      <w:pPr>
        <w:spacing w:after="0" w:line="240" w:lineRule="auto"/>
        <w:jc w:val="center"/>
        <w:outlineLvl w:val="0"/>
        <w:rPr>
          <w:rFonts w:ascii="Arial" w:hAnsi="Arial"/>
        </w:rPr>
      </w:pPr>
      <w:r>
        <w:rPr>
          <w:rFonts w:ascii="Arial" w:hAnsi="Arial"/>
        </w:rPr>
        <w:t>MARIA PAULA FONTOURA</w:t>
      </w:r>
    </w:p>
    <w:p w:rsidR="00763118" w:rsidRPr="004769AE" w:rsidRDefault="00763118" w:rsidP="00F60CAC">
      <w:pPr>
        <w:spacing w:after="0" w:line="240" w:lineRule="auto"/>
        <w:jc w:val="center"/>
        <w:outlineLvl w:val="0"/>
        <w:rPr>
          <w:rFonts w:ascii="Arial" w:hAnsi="Arial"/>
        </w:rPr>
      </w:pPr>
      <w:r>
        <w:rPr>
          <w:rFonts w:ascii="Arial" w:hAnsi="Arial"/>
        </w:rPr>
        <w:t>UECE</w:t>
      </w:r>
      <w:r w:rsidR="00A241D5">
        <w:rPr>
          <w:rFonts w:ascii="Arial" w:hAnsi="Arial"/>
        </w:rPr>
        <w:t xml:space="preserve"> (Research Unit on Complexity and Economics)</w:t>
      </w:r>
      <w:r>
        <w:rPr>
          <w:rFonts w:ascii="Arial" w:hAnsi="Arial"/>
        </w:rPr>
        <w:t xml:space="preserve"> - ISEG</w:t>
      </w:r>
    </w:p>
    <w:p w:rsidR="00763118" w:rsidRPr="004769AE" w:rsidRDefault="00763118" w:rsidP="00F60CAC">
      <w:pPr>
        <w:spacing w:after="0" w:line="240" w:lineRule="auto"/>
        <w:jc w:val="center"/>
        <w:outlineLvl w:val="0"/>
        <w:rPr>
          <w:rFonts w:ascii="Arial" w:hAnsi="Arial"/>
        </w:rPr>
      </w:pPr>
      <w:r>
        <w:rPr>
          <w:rFonts w:ascii="Arial" w:hAnsi="Arial"/>
        </w:rPr>
        <w:t>University of Lisbon</w:t>
      </w:r>
    </w:p>
    <w:p w:rsidR="00763118" w:rsidRPr="004769AE" w:rsidRDefault="00763118" w:rsidP="00F60CAC">
      <w:pPr>
        <w:spacing w:after="0" w:line="240" w:lineRule="auto"/>
        <w:jc w:val="center"/>
        <w:outlineLvl w:val="0"/>
        <w:rPr>
          <w:rFonts w:ascii="Arial" w:hAnsi="Arial"/>
        </w:rPr>
      </w:pPr>
      <w:r>
        <w:rPr>
          <w:rFonts w:ascii="Arial" w:hAnsi="Arial"/>
        </w:rPr>
        <w:t>Portugal</w:t>
      </w:r>
    </w:p>
    <w:p w:rsidR="00763118" w:rsidRDefault="00181BD8" w:rsidP="00F60CAC">
      <w:pPr>
        <w:spacing w:after="0" w:line="240" w:lineRule="auto"/>
        <w:jc w:val="center"/>
        <w:outlineLvl w:val="0"/>
        <w:rPr>
          <w:rFonts w:ascii="Arial" w:hAnsi="Arial"/>
        </w:rPr>
      </w:pPr>
      <w:r>
        <w:rPr>
          <w:rFonts w:ascii="Arial" w:hAnsi="Arial"/>
        </w:rPr>
        <w:t>fontoura@iseg.utl.pt</w:t>
      </w:r>
    </w:p>
    <w:p w:rsidR="00F60CAC" w:rsidRDefault="00F60CAC" w:rsidP="00F60CAC">
      <w:pPr>
        <w:spacing w:after="0" w:line="240" w:lineRule="auto"/>
        <w:jc w:val="center"/>
        <w:outlineLvl w:val="0"/>
        <w:rPr>
          <w:rFonts w:ascii="Arial" w:hAnsi="Arial"/>
        </w:rPr>
      </w:pPr>
    </w:p>
    <w:p w:rsidR="00763118" w:rsidRDefault="00763118" w:rsidP="00F60CAC">
      <w:pPr>
        <w:spacing w:after="0" w:line="240" w:lineRule="auto"/>
        <w:jc w:val="center"/>
        <w:outlineLvl w:val="0"/>
        <w:rPr>
          <w:rFonts w:ascii="Arial" w:hAnsi="Arial"/>
        </w:rPr>
      </w:pPr>
      <w:r>
        <w:rPr>
          <w:rFonts w:ascii="Arial" w:hAnsi="Arial"/>
        </w:rPr>
        <w:t>PEDRO SERÔDIO</w:t>
      </w:r>
    </w:p>
    <w:p w:rsidR="00763118" w:rsidRDefault="00763118" w:rsidP="00F60CAC">
      <w:pPr>
        <w:spacing w:after="0" w:line="240" w:lineRule="auto"/>
        <w:jc w:val="center"/>
        <w:outlineLvl w:val="0"/>
        <w:rPr>
          <w:rFonts w:ascii="Arial" w:hAnsi="Arial"/>
        </w:rPr>
      </w:pPr>
      <w:r>
        <w:rPr>
          <w:rFonts w:ascii="Arial" w:hAnsi="Arial"/>
        </w:rPr>
        <w:t>ISEG</w:t>
      </w:r>
    </w:p>
    <w:p w:rsidR="00763118" w:rsidRDefault="00763118" w:rsidP="00F60CAC">
      <w:pPr>
        <w:spacing w:after="0" w:line="240" w:lineRule="auto"/>
        <w:jc w:val="center"/>
        <w:outlineLvl w:val="0"/>
        <w:rPr>
          <w:rFonts w:ascii="Arial" w:hAnsi="Arial"/>
        </w:rPr>
      </w:pPr>
      <w:r>
        <w:rPr>
          <w:rFonts w:ascii="Arial" w:hAnsi="Arial"/>
        </w:rPr>
        <w:t>University of Lisbon</w:t>
      </w:r>
    </w:p>
    <w:p w:rsidR="00763118" w:rsidRDefault="00763118" w:rsidP="00F60CAC">
      <w:pPr>
        <w:spacing w:after="0" w:line="240" w:lineRule="auto"/>
        <w:jc w:val="center"/>
        <w:outlineLvl w:val="0"/>
        <w:rPr>
          <w:rFonts w:ascii="Arial" w:hAnsi="Arial"/>
        </w:rPr>
      </w:pPr>
      <w:r>
        <w:rPr>
          <w:rFonts w:ascii="Arial" w:hAnsi="Arial"/>
        </w:rPr>
        <w:t>Portugal</w:t>
      </w:r>
    </w:p>
    <w:p w:rsidR="00763118" w:rsidRDefault="00F60CAC" w:rsidP="00F60CAC">
      <w:pPr>
        <w:spacing w:after="0" w:line="240" w:lineRule="auto"/>
        <w:jc w:val="center"/>
        <w:outlineLvl w:val="0"/>
        <w:rPr>
          <w:rFonts w:ascii="Arial" w:hAnsi="Arial"/>
        </w:rPr>
      </w:pPr>
      <w:r w:rsidRPr="00181BD8">
        <w:rPr>
          <w:rFonts w:ascii="Arial" w:hAnsi="Arial"/>
        </w:rPr>
        <w:t>pedromiguelserodio@hotmail.com</w:t>
      </w:r>
    </w:p>
    <w:p w:rsidR="00F60CAC" w:rsidRDefault="00F60CAC" w:rsidP="00F60CAC">
      <w:pPr>
        <w:spacing w:after="0" w:line="240" w:lineRule="auto"/>
        <w:jc w:val="center"/>
        <w:outlineLvl w:val="0"/>
        <w:rPr>
          <w:rFonts w:ascii="Arial" w:hAnsi="Arial"/>
        </w:rPr>
      </w:pPr>
    </w:p>
    <w:p w:rsidR="00763118" w:rsidRPr="00EE1BC8" w:rsidRDefault="00763118" w:rsidP="00F60CAC">
      <w:pPr>
        <w:spacing w:after="0" w:line="240" w:lineRule="auto"/>
        <w:jc w:val="center"/>
        <w:outlineLvl w:val="0"/>
        <w:rPr>
          <w:rFonts w:ascii="Arial" w:hAnsi="Arial"/>
          <w:lang w:val="pt-PT"/>
        </w:rPr>
      </w:pPr>
      <w:r w:rsidRPr="00EE1BC8">
        <w:rPr>
          <w:rFonts w:ascii="Arial" w:hAnsi="Arial"/>
          <w:lang w:val="pt-PT"/>
        </w:rPr>
        <w:t>SOFIA RODRIGUES</w:t>
      </w:r>
    </w:p>
    <w:p w:rsidR="00763118" w:rsidRPr="00EE1BC8" w:rsidRDefault="00763118" w:rsidP="00F60CAC">
      <w:pPr>
        <w:spacing w:after="0" w:line="240" w:lineRule="auto"/>
        <w:jc w:val="center"/>
        <w:outlineLvl w:val="0"/>
        <w:rPr>
          <w:rFonts w:ascii="Arial" w:hAnsi="Arial"/>
          <w:lang w:val="pt-PT"/>
        </w:rPr>
      </w:pPr>
      <w:r w:rsidRPr="00EE1BC8">
        <w:rPr>
          <w:rFonts w:ascii="Arial" w:hAnsi="Arial"/>
          <w:lang w:val="pt-PT"/>
        </w:rPr>
        <w:t>ISEG</w:t>
      </w:r>
    </w:p>
    <w:p w:rsidR="00763118" w:rsidRPr="00EE1BC8" w:rsidRDefault="00763118" w:rsidP="00F60CAC">
      <w:pPr>
        <w:spacing w:after="0" w:line="240" w:lineRule="auto"/>
        <w:jc w:val="center"/>
        <w:outlineLvl w:val="0"/>
        <w:rPr>
          <w:rFonts w:ascii="Arial" w:hAnsi="Arial"/>
          <w:lang w:val="pt-PT"/>
        </w:rPr>
      </w:pPr>
      <w:proofErr w:type="spellStart"/>
      <w:r w:rsidRPr="00EE1BC8">
        <w:rPr>
          <w:rFonts w:ascii="Arial" w:hAnsi="Arial"/>
          <w:lang w:val="pt-PT"/>
        </w:rPr>
        <w:t>University</w:t>
      </w:r>
      <w:proofErr w:type="spellEnd"/>
      <w:r w:rsidRPr="00EE1BC8">
        <w:rPr>
          <w:rFonts w:ascii="Arial" w:hAnsi="Arial"/>
          <w:lang w:val="pt-PT"/>
        </w:rPr>
        <w:t xml:space="preserve"> of </w:t>
      </w:r>
      <w:proofErr w:type="spellStart"/>
      <w:r w:rsidRPr="00EE1BC8">
        <w:rPr>
          <w:rFonts w:ascii="Arial" w:hAnsi="Arial"/>
          <w:lang w:val="pt-PT"/>
        </w:rPr>
        <w:t>Lisbon</w:t>
      </w:r>
      <w:proofErr w:type="spellEnd"/>
    </w:p>
    <w:p w:rsidR="00763118" w:rsidRPr="00EE1BC8" w:rsidRDefault="00763118" w:rsidP="00F60CAC">
      <w:pPr>
        <w:spacing w:after="0" w:line="240" w:lineRule="auto"/>
        <w:jc w:val="center"/>
        <w:outlineLvl w:val="0"/>
        <w:rPr>
          <w:rFonts w:ascii="Arial" w:hAnsi="Arial"/>
          <w:lang w:val="pt-PT"/>
        </w:rPr>
      </w:pPr>
      <w:r w:rsidRPr="00EE1BC8">
        <w:rPr>
          <w:rFonts w:ascii="Arial" w:hAnsi="Arial"/>
          <w:lang w:val="pt-PT"/>
        </w:rPr>
        <w:t>Portugal</w:t>
      </w:r>
    </w:p>
    <w:p w:rsidR="002F0F61" w:rsidRDefault="00181BD8" w:rsidP="00F60CAC">
      <w:pPr>
        <w:spacing w:after="0" w:line="240" w:lineRule="auto"/>
        <w:jc w:val="center"/>
        <w:outlineLvl w:val="0"/>
        <w:rPr>
          <w:rFonts w:ascii="Arial" w:hAnsi="Arial"/>
        </w:rPr>
      </w:pPr>
      <w:r>
        <w:rPr>
          <w:rFonts w:ascii="Arial" w:hAnsi="Arial"/>
        </w:rPr>
        <w:t>sofia_rodrigues03@hotmail.com</w:t>
      </w:r>
    </w:p>
    <w:p w:rsidR="00F60CAC" w:rsidRPr="00215545" w:rsidRDefault="00F60CAC" w:rsidP="00F60CAC">
      <w:pPr>
        <w:spacing w:after="0" w:line="240" w:lineRule="auto"/>
        <w:jc w:val="center"/>
        <w:outlineLvl w:val="0"/>
        <w:rPr>
          <w:rFonts w:ascii="Arial" w:hAnsi="Arial"/>
        </w:rPr>
      </w:pPr>
    </w:p>
    <w:p w:rsidR="002F0F61" w:rsidRPr="00F60CAC" w:rsidRDefault="00F60CAC" w:rsidP="00F60CAC">
      <w:pPr>
        <w:spacing w:after="0" w:line="240" w:lineRule="auto"/>
        <w:jc w:val="both"/>
        <w:rPr>
          <w:rFonts w:ascii="Arial" w:hAnsi="Arial" w:cs="Arial"/>
          <w:b/>
        </w:rPr>
      </w:pPr>
      <w:r>
        <w:rPr>
          <w:rFonts w:ascii="Arial" w:hAnsi="Arial" w:cs="Arial"/>
          <w:b/>
        </w:rPr>
        <w:t xml:space="preserve">ABSTRACT: </w:t>
      </w:r>
      <w:r w:rsidR="002F0F61" w:rsidRPr="00763118">
        <w:rPr>
          <w:rFonts w:ascii="Arial" w:hAnsi="Arial" w:cs="Arial"/>
          <w:bCs/>
        </w:rPr>
        <w:t xml:space="preserve">European Union’s enlargement to eastern and central Europe’s countries imposed a challenge to southern Europe’s countries. With similar </w:t>
      </w:r>
      <w:r w:rsidR="00F05691" w:rsidRPr="00763118">
        <w:rPr>
          <w:rFonts w:ascii="Arial" w:hAnsi="Arial" w:cs="Arial"/>
          <w:bCs/>
        </w:rPr>
        <w:t>labor</w:t>
      </w:r>
      <w:r w:rsidR="002F0F61" w:rsidRPr="00763118">
        <w:rPr>
          <w:rFonts w:ascii="Arial" w:hAnsi="Arial" w:cs="Arial"/>
          <w:bCs/>
        </w:rPr>
        <w:t xml:space="preserve"> intensive specialization patterns, but much lower production costs and better qualified human capital than eastern and central Europe’s countries, southern Europe faced serious threats to their competitiveness.</w:t>
      </w:r>
      <w:r w:rsidR="002F0F61" w:rsidRPr="00763118">
        <w:rPr>
          <w:rFonts w:ascii="Arial" w:hAnsi="Arial" w:cs="Arial"/>
        </w:rPr>
        <w:t xml:space="preserve"> This paper compares the export performance of these two groups of countries in the period 2000s through the analysis of two specific representative countries: Portugal and Poland.</w:t>
      </w:r>
    </w:p>
    <w:p w:rsidR="002F0F61" w:rsidRPr="00763118" w:rsidRDefault="002F0F61" w:rsidP="00F60CAC">
      <w:pPr>
        <w:spacing w:after="0" w:line="240" w:lineRule="auto"/>
        <w:ind w:firstLine="567"/>
        <w:jc w:val="both"/>
        <w:rPr>
          <w:rFonts w:ascii="Arial" w:hAnsi="Arial" w:cs="Arial"/>
        </w:rPr>
      </w:pPr>
      <w:r w:rsidRPr="00763118">
        <w:rPr>
          <w:rStyle w:val="hps"/>
          <w:rFonts w:ascii="Arial" w:hAnsi="Arial" w:cs="Arial"/>
        </w:rPr>
        <w:t>The study is based on</w:t>
      </w:r>
      <w:r w:rsidRPr="00763118">
        <w:rPr>
          <w:rStyle w:val="hps"/>
          <w:rFonts w:ascii="Arial" w:hAnsi="Arial" w:cs="Arial"/>
          <w:color w:val="FF0000"/>
        </w:rPr>
        <w:t xml:space="preserve"> </w:t>
      </w:r>
      <w:r w:rsidRPr="00763118">
        <w:rPr>
          <w:rStyle w:val="hps"/>
          <w:rFonts w:ascii="Arial" w:hAnsi="Arial" w:cs="Arial"/>
        </w:rPr>
        <w:t>(</w:t>
      </w:r>
      <w:proofErr w:type="spellStart"/>
      <w:r w:rsidRPr="00763118">
        <w:rPr>
          <w:rStyle w:val="hps"/>
          <w:rFonts w:ascii="Arial" w:hAnsi="Arial" w:cs="Arial"/>
        </w:rPr>
        <w:t>i</w:t>
      </w:r>
      <w:proofErr w:type="spellEnd"/>
      <w:r w:rsidRPr="00763118">
        <w:rPr>
          <w:rStyle w:val="hps"/>
          <w:rFonts w:ascii="Arial" w:hAnsi="Arial" w:cs="Arial"/>
        </w:rPr>
        <w:t>)</w:t>
      </w:r>
      <w:r w:rsidRPr="00763118">
        <w:rPr>
          <w:rStyle w:val="hps"/>
          <w:rFonts w:ascii="Arial" w:hAnsi="Arial" w:cs="Arial"/>
          <w:color w:val="FF0000"/>
        </w:rPr>
        <w:t xml:space="preserve"> </w:t>
      </w:r>
      <w:r w:rsidRPr="00763118">
        <w:rPr>
          <w:rStyle w:val="hps"/>
          <w:rFonts w:ascii="Arial" w:hAnsi="Arial" w:cs="Arial"/>
        </w:rPr>
        <w:t>a Cons</w:t>
      </w:r>
      <w:r w:rsidRPr="00763118">
        <w:rPr>
          <w:rFonts w:ascii="Arial" w:hAnsi="Arial" w:cs="Arial"/>
        </w:rPr>
        <w:t xml:space="preserve">tant Market Share analysis, which allows </w:t>
      </w:r>
      <w:proofErr w:type="gramStart"/>
      <w:r w:rsidRPr="00763118">
        <w:rPr>
          <w:rFonts w:ascii="Arial" w:hAnsi="Arial" w:cs="Arial"/>
        </w:rPr>
        <w:t>to decompose</w:t>
      </w:r>
      <w:proofErr w:type="gramEnd"/>
      <w:r w:rsidRPr="00763118">
        <w:rPr>
          <w:rFonts w:ascii="Arial" w:hAnsi="Arial" w:cs="Arial"/>
        </w:rPr>
        <w:t xml:space="preserve"> the export growth into several components; and (ii) a combination of revealed comparative indexes with a geographical orientation measure, which allows to identify the export potential of each product according to these two characteristics. </w:t>
      </w:r>
    </w:p>
    <w:p w:rsidR="00F60CAC" w:rsidRPr="00763118" w:rsidRDefault="00776BDC" w:rsidP="002F0B23">
      <w:pPr>
        <w:spacing w:after="0" w:line="240" w:lineRule="auto"/>
        <w:ind w:firstLine="567"/>
        <w:jc w:val="both"/>
        <w:rPr>
          <w:rFonts w:ascii="Arial" w:hAnsi="Arial" w:cs="Arial"/>
        </w:rPr>
      </w:pPr>
      <w:r w:rsidRPr="00763118">
        <w:rPr>
          <w:rFonts w:ascii="Arial" w:hAnsi="Arial" w:cs="Arial"/>
        </w:rPr>
        <w:t xml:space="preserve">We conclude that while Poland registered a great and impressive export performance across the analyzed period, increasing around 100% the country’s market share to the EU15, Portugal has evolved in the opposite direction, with an average market share decrease of 7%. Although it was not the only factor, we conclude that Poland’s competitiveness effect </w:t>
      </w:r>
      <w:r w:rsidR="00780D37" w:rsidRPr="00763118">
        <w:rPr>
          <w:rFonts w:ascii="Arial" w:hAnsi="Arial" w:cs="Arial"/>
        </w:rPr>
        <w:t>was essential</w:t>
      </w:r>
      <w:r w:rsidR="002F0F61" w:rsidRPr="00763118">
        <w:rPr>
          <w:rFonts w:ascii="Arial" w:hAnsi="Arial" w:cs="Arial"/>
        </w:rPr>
        <w:t xml:space="preserve"> to explain Poland’s incr</w:t>
      </w:r>
      <w:r w:rsidR="00215545">
        <w:rPr>
          <w:rFonts w:ascii="Arial" w:hAnsi="Arial" w:cs="Arial"/>
        </w:rPr>
        <w:t xml:space="preserve">easing industries export share. </w:t>
      </w:r>
      <w:r w:rsidR="002F0F61" w:rsidRPr="00763118">
        <w:rPr>
          <w:rFonts w:ascii="Arial" w:hAnsi="Arial" w:cs="Arial"/>
        </w:rPr>
        <w:t>Several reasons are proposed for the different cou</w:t>
      </w:r>
      <w:r w:rsidR="00F60CAC">
        <w:rPr>
          <w:rFonts w:ascii="Arial" w:hAnsi="Arial" w:cs="Arial"/>
        </w:rPr>
        <w:t>rse taken by the two countries.</w:t>
      </w:r>
    </w:p>
    <w:p w:rsidR="00F60CAC" w:rsidRPr="00763118" w:rsidRDefault="002F0F61" w:rsidP="00F60CAC">
      <w:pPr>
        <w:spacing w:after="0" w:line="240" w:lineRule="auto"/>
        <w:jc w:val="both"/>
        <w:rPr>
          <w:rFonts w:ascii="Arial" w:hAnsi="Arial" w:cs="Arial"/>
        </w:rPr>
      </w:pPr>
      <w:r w:rsidRPr="00763118">
        <w:rPr>
          <w:rFonts w:ascii="Arial" w:hAnsi="Arial" w:cs="Arial"/>
          <w:b/>
        </w:rPr>
        <w:t>K</w:t>
      </w:r>
      <w:r w:rsidR="00F60CAC">
        <w:rPr>
          <w:rFonts w:ascii="Arial" w:hAnsi="Arial" w:cs="Arial"/>
          <w:b/>
        </w:rPr>
        <w:t>EYWORDS</w:t>
      </w:r>
      <w:r w:rsidRPr="00763118">
        <w:rPr>
          <w:rFonts w:ascii="Arial" w:hAnsi="Arial" w:cs="Arial"/>
          <w:b/>
        </w:rPr>
        <w:t>:</w:t>
      </w:r>
      <w:r w:rsidRPr="00763118">
        <w:rPr>
          <w:rFonts w:ascii="Arial" w:hAnsi="Arial" w:cs="Arial"/>
        </w:rPr>
        <w:t xml:space="preserve"> Portugal, Poland, European Union, Competitiveness, Constant Market Share, Trade Potential</w:t>
      </w:r>
    </w:p>
    <w:p w:rsidR="0087209C" w:rsidRPr="00763118" w:rsidRDefault="00F60CAC" w:rsidP="00F60CAC">
      <w:pPr>
        <w:spacing w:after="0" w:line="240" w:lineRule="auto"/>
        <w:jc w:val="both"/>
        <w:rPr>
          <w:rFonts w:ascii="Arial" w:hAnsi="Arial" w:cs="Arial"/>
        </w:rPr>
      </w:pPr>
      <w:r>
        <w:rPr>
          <w:rFonts w:ascii="Arial" w:hAnsi="Arial" w:cs="Arial"/>
          <w:b/>
        </w:rPr>
        <w:t>JEL CLASSIFICATION</w:t>
      </w:r>
      <w:r w:rsidR="002F0F61" w:rsidRPr="00763118">
        <w:rPr>
          <w:rFonts w:ascii="Arial" w:hAnsi="Arial" w:cs="Arial"/>
          <w:b/>
        </w:rPr>
        <w:t>:</w:t>
      </w:r>
      <w:r w:rsidR="002F0F61" w:rsidRPr="00763118">
        <w:rPr>
          <w:rFonts w:ascii="Arial" w:hAnsi="Arial" w:cs="Arial"/>
        </w:rPr>
        <w:t xml:space="preserve"> F10, F15, F16 </w:t>
      </w:r>
    </w:p>
    <w:p w:rsidR="002B0D16" w:rsidRDefault="002B0D16" w:rsidP="004455CB">
      <w:pPr>
        <w:spacing w:before="220" w:after="220" w:line="240" w:lineRule="auto"/>
        <w:jc w:val="both"/>
        <w:rPr>
          <w:rFonts w:ascii="Arial" w:eastAsia="Times New Roman" w:hAnsi="Arial" w:cs="Arial"/>
          <w:b/>
          <w:smallCaps/>
          <w:color w:val="000000"/>
        </w:rPr>
      </w:pPr>
      <w:r w:rsidRPr="002B0D16">
        <w:rPr>
          <w:rFonts w:ascii="Arial" w:eastAsia="Times New Roman" w:hAnsi="Arial" w:cs="Arial"/>
          <w:b/>
          <w:smallCaps/>
          <w:color w:val="000000"/>
        </w:rPr>
        <w:lastRenderedPageBreak/>
        <w:t>I. INTRODUCTION</w:t>
      </w:r>
    </w:p>
    <w:p w:rsidR="00A83CE3" w:rsidRPr="00763118" w:rsidRDefault="00A83CE3" w:rsidP="004455CB">
      <w:pPr>
        <w:spacing w:after="0" w:line="240" w:lineRule="auto"/>
        <w:ind w:firstLine="567"/>
        <w:jc w:val="both"/>
        <w:rPr>
          <w:rFonts w:ascii="Arial" w:hAnsi="Arial" w:cs="Arial"/>
        </w:rPr>
      </w:pPr>
      <w:r w:rsidRPr="00763118">
        <w:rPr>
          <w:rFonts w:ascii="Arial" w:hAnsi="Arial" w:cs="Arial"/>
          <w:bCs/>
        </w:rPr>
        <w:t>European Union’s enlargement to eastern and central Europe’s countries imposed a challenge to southern Europe’s countries. With similar labor intensive specialization patterns, but much lower production costs and better qualified human capital than eastern and central Europe’s countries, southern Europe faced serious threats to their competitiveness.</w:t>
      </w:r>
      <w:r w:rsidRPr="00763118">
        <w:rPr>
          <w:rFonts w:ascii="Arial" w:hAnsi="Arial" w:cs="Arial"/>
        </w:rPr>
        <w:t xml:space="preserve"> This paper compares the export performance of these two groups of countries in the period 2000</w:t>
      </w:r>
      <w:r w:rsidR="00DB3A80">
        <w:rPr>
          <w:rFonts w:ascii="Arial" w:hAnsi="Arial" w:cs="Arial"/>
        </w:rPr>
        <w:t>’</w:t>
      </w:r>
      <w:r w:rsidRPr="00763118">
        <w:rPr>
          <w:rFonts w:ascii="Arial" w:hAnsi="Arial" w:cs="Arial"/>
        </w:rPr>
        <w:t>s  towards the first fourteen Member-States of the European Union, in which Portugal is not included (the term EU15 will be used to designate these fourteen M</w:t>
      </w:r>
      <w:r w:rsidR="00ED2E59">
        <w:rPr>
          <w:rFonts w:ascii="Arial" w:hAnsi="Arial" w:cs="Arial"/>
        </w:rPr>
        <w:t xml:space="preserve">ember States, from here on in) </w:t>
      </w:r>
      <w:r w:rsidRPr="00763118">
        <w:rPr>
          <w:rFonts w:ascii="Arial" w:hAnsi="Arial" w:cs="Arial"/>
        </w:rPr>
        <w:t>through the analysis of two specific representative countries: Portugal and Poland</w:t>
      </w:r>
      <w:r w:rsidR="0087209C" w:rsidRPr="00763118">
        <w:rPr>
          <w:rFonts w:ascii="Arial" w:hAnsi="Arial" w:cs="Arial"/>
        </w:rPr>
        <w:t xml:space="preserve"> </w:t>
      </w:r>
    </w:p>
    <w:p w:rsidR="00A83CE3" w:rsidRPr="00763118" w:rsidRDefault="00A83CE3" w:rsidP="004455CB">
      <w:pPr>
        <w:spacing w:after="0" w:line="240" w:lineRule="auto"/>
        <w:ind w:firstLine="567"/>
        <w:jc w:val="both"/>
        <w:rPr>
          <w:rFonts w:ascii="Arial" w:hAnsi="Arial" w:cs="Arial"/>
        </w:rPr>
      </w:pPr>
      <w:r w:rsidRPr="00763118">
        <w:rPr>
          <w:rFonts w:ascii="Arial" w:hAnsi="Arial" w:cs="Arial"/>
        </w:rPr>
        <w:t xml:space="preserve">The choice of these two specific countries, Portugal and Poland, can be easily understood. Despite the </w:t>
      </w:r>
      <w:r w:rsidR="00DB3A80">
        <w:rPr>
          <w:rFonts w:ascii="Arial" w:hAnsi="Arial" w:cs="Arial"/>
        </w:rPr>
        <w:t xml:space="preserve">fact the </w:t>
      </w:r>
      <w:r w:rsidRPr="00763118">
        <w:rPr>
          <w:rFonts w:ascii="Arial" w:hAnsi="Arial" w:cs="Arial"/>
        </w:rPr>
        <w:t xml:space="preserve">Polish economy is much larger than the </w:t>
      </w:r>
      <w:proofErr w:type="gramStart"/>
      <w:r w:rsidRPr="00763118">
        <w:rPr>
          <w:rFonts w:ascii="Arial" w:hAnsi="Arial" w:cs="Arial"/>
        </w:rPr>
        <w:t>Portuguese,</w:t>
      </w:r>
      <w:proofErr w:type="gramEnd"/>
      <w:r w:rsidRPr="00763118">
        <w:rPr>
          <w:rFonts w:ascii="Arial" w:hAnsi="Arial" w:cs="Arial"/>
        </w:rPr>
        <w:t xml:space="preserve"> their specialization pattern in production </w:t>
      </w:r>
      <w:r w:rsidR="00776BDC" w:rsidRPr="00763118">
        <w:rPr>
          <w:rFonts w:ascii="Arial" w:hAnsi="Arial" w:cs="Arial"/>
        </w:rPr>
        <w:t>is</w:t>
      </w:r>
      <w:r w:rsidRPr="00763118">
        <w:rPr>
          <w:rFonts w:ascii="Arial" w:hAnsi="Arial" w:cs="Arial"/>
        </w:rPr>
        <w:t xml:space="preserve"> rather similar. Therefore, when Poland became </w:t>
      </w:r>
      <w:proofErr w:type="gramStart"/>
      <w:r w:rsidRPr="00763118">
        <w:rPr>
          <w:rFonts w:ascii="Arial" w:hAnsi="Arial" w:cs="Arial"/>
        </w:rPr>
        <w:t>an</w:t>
      </w:r>
      <w:proofErr w:type="gramEnd"/>
      <w:r w:rsidRPr="00763118">
        <w:rPr>
          <w:rFonts w:ascii="Arial" w:hAnsi="Arial" w:cs="Arial"/>
        </w:rPr>
        <w:t xml:space="preserve"> European Union member, in 2004, </w:t>
      </w:r>
      <w:r w:rsidR="005E4EFD">
        <w:rPr>
          <w:rFonts w:ascii="Arial" w:hAnsi="Arial" w:cs="Arial"/>
        </w:rPr>
        <w:t xml:space="preserve">it was expected a loss of competitiveness from </w:t>
      </w:r>
      <w:r w:rsidRPr="00763118">
        <w:rPr>
          <w:rFonts w:ascii="Arial" w:hAnsi="Arial" w:cs="Arial"/>
        </w:rPr>
        <w:t xml:space="preserve">southern Europe’s countries. This explains, partially, the need to study the period </w:t>
      </w:r>
      <w:r w:rsidR="003E06BC" w:rsidRPr="00763118">
        <w:rPr>
          <w:rFonts w:ascii="Arial" w:hAnsi="Arial" w:cs="Arial"/>
        </w:rPr>
        <w:t xml:space="preserve">dividing it in three </w:t>
      </w:r>
      <w:proofErr w:type="spellStart"/>
      <w:r w:rsidR="003E06BC" w:rsidRPr="00763118">
        <w:rPr>
          <w:rFonts w:ascii="Arial" w:hAnsi="Arial" w:cs="Arial"/>
        </w:rPr>
        <w:t>subperiods</w:t>
      </w:r>
      <w:proofErr w:type="spellEnd"/>
      <w:r w:rsidR="00776BDC" w:rsidRPr="00763118">
        <w:rPr>
          <w:rFonts w:ascii="Arial" w:hAnsi="Arial" w:cs="Arial"/>
        </w:rPr>
        <w:t>: t</w:t>
      </w:r>
      <w:r w:rsidRPr="00763118">
        <w:rPr>
          <w:rFonts w:ascii="Arial" w:hAnsi="Arial" w:cs="Arial"/>
        </w:rPr>
        <w:t xml:space="preserve">he first </w:t>
      </w:r>
      <w:proofErr w:type="spellStart"/>
      <w:r w:rsidRPr="00763118">
        <w:rPr>
          <w:rFonts w:ascii="Arial" w:hAnsi="Arial" w:cs="Arial"/>
        </w:rPr>
        <w:t>subperiod</w:t>
      </w:r>
      <w:proofErr w:type="spellEnd"/>
      <w:r w:rsidRPr="00763118">
        <w:rPr>
          <w:rFonts w:ascii="Arial" w:hAnsi="Arial" w:cs="Arial"/>
        </w:rPr>
        <w:t xml:space="preserve"> 2001-2003 is characterized by being prior to Poland’s entry in the EU, while Portugal was already a member; 2004-2008 is when the first possible effects of Poland in the EU can be observed; 2009-2013 is the period marked by the economic and financial crisis.</w:t>
      </w:r>
    </w:p>
    <w:p w:rsidR="001B6675" w:rsidRDefault="00D658C3" w:rsidP="004455CB">
      <w:pPr>
        <w:spacing w:after="0" w:line="240" w:lineRule="auto"/>
        <w:ind w:firstLine="567"/>
        <w:jc w:val="both"/>
        <w:rPr>
          <w:rFonts w:ascii="Arial" w:hAnsi="Arial" w:cs="Arial"/>
        </w:rPr>
      </w:pPr>
      <w:r w:rsidRPr="00763118">
        <w:rPr>
          <w:rFonts w:ascii="Arial" w:hAnsi="Arial" w:cs="Arial"/>
        </w:rPr>
        <w:t xml:space="preserve">An additional reason to compare these two countries is the different path they followed in terms of their export </w:t>
      </w:r>
      <w:r w:rsidR="00D23906" w:rsidRPr="00763118">
        <w:rPr>
          <w:rFonts w:ascii="Arial" w:hAnsi="Arial" w:cs="Arial"/>
        </w:rPr>
        <w:t>performance</w:t>
      </w:r>
      <w:r w:rsidRPr="00763118">
        <w:rPr>
          <w:rFonts w:ascii="Arial" w:hAnsi="Arial" w:cs="Arial"/>
        </w:rPr>
        <w:t xml:space="preserve">. </w:t>
      </w:r>
      <w:r w:rsidR="005B3A98" w:rsidRPr="00763118">
        <w:rPr>
          <w:rFonts w:ascii="Arial" w:hAnsi="Arial" w:cs="Arial"/>
        </w:rPr>
        <w:t>While in the period between 2001 and 2013 Portugal had an exports total growth of 45</w:t>
      </w:r>
      <w:proofErr w:type="gramStart"/>
      <w:r w:rsidR="005B3A98" w:rsidRPr="00763118">
        <w:rPr>
          <w:rFonts w:ascii="Arial" w:hAnsi="Arial" w:cs="Arial"/>
        </w:rPr>
        <w:t>,59</w:t>
      </w:r>
      <w:proofErr w:type="gramEnd"/>
      <w:r w:rsidR="005B3A98" w:rsidRPr="00763118">
        <w:rPr>
          <w:rFonts w:ascii="Arial" w:hAnsi="Arial" w:cs="Arial"/>
        </w:rPr>
        <w:t>%, Poland registered 215,83</w:t>
      </w:r>
      <w:r w:rsidR="005B3A98" w:rsidRPr="009819A7">
        <w:rPr>
          <w:rFonts w:ascii="Arial" w:hAnsi="Arial" w:cs="Arial"/>
        </w:rPr>
        <w:t xml:space="preserve">% </w:t>
      </w:r>
      <w:r w:rsidR="009819A7" w:rsidRPr="009819A7">
        <w:rPr>
          <w:rFonts w:ascii="Arial" w:hAnsi="Arial" w:cs="Arial"/>
        </w:rPr>
        <w:t>(see table 8</w:t>
      </w:r>
      <w:r w:rsidR="005B3A98" w:rsidRPr="009819A7">
        <w:rPr>
          <w:rFonts w:ascii="Arial" w:hAnsi="Arial" w:cs="Arial"/>
        </w:rPr>
        <w:t xml:space="preserve"> of the appendix).</w:t>
      </w:r>
      <w:r w:rsidR="005B3A98" w:rsidRPr="00763118">
        <w:rPr>
          <w:rFonts w:ascii="Arial" w:hAnsi="Arial" w:cs="Arial"/>
        </w:rPr>
        <w:t xml:space="preserve"> </w:t>
      </w:r>
      <w:r w:rsidR="0008217A" w:rsidRPr="00763118">
        <w:rPr>
          <w:rFonts w:ascii="Arial" w:hAnsi="Arial" w:cs="Arial"/>
        </w:rPr>
        <w:t>In what concerns the</w:t>
      </w:r>
      <w:r w:rsidR="005B3A98" w:rsidRPr="00763118">
        <w:rPr>
          <w:rFonts w:ascii="Arial" w:hAnsi="Arial" w:cs="Arial"/>
        </w:rPr>
        <w:t xml:space="preserve"> market share in the European Union, Portugal has experienced a decrease of -7,3% in the period of 2001 to 2013, (regaining 5,3% from 2012 to 2013) while Poland has had an increase of 101,1% in the same period. As Portugal’s exports to the European Union were 0</w:t>
      </w:r>
      <w:proofErr w:type="gramStart"/>
      <w:r w:rsidR="005B3A98" w:rsidRPr="00763118">
        <w:rPr>
          <w:rFonts w:ascii="Arial" w:hAnsi="Arial" w:cs="Arial"/>
        </w:rPr>
        <w:t>,88</w:t>
      </w:r>
      <w:proofErr w:type="gramEnd"/>
      <w:r w:rsidR="005B3A98" w:rsidRPr="00763118">
        <w:rPr>
          <w:rFonts w:ascii="Arial" w:hAnsi="Arial" w:cs="Arial"/>
        </w:rPr>
        <w:t>% of the Union’s total imports in 2001, by 2013 they fell to 0,81%. Inversely, Poland’s ma</w:t>
      </w:r>
      <w:r w:rsidR="009819A7">
        <w:rPr>
          <w:rFonts w:ascii="Arial" w:hAnsi="Arial" w:cs="Arial"/>
        </w:rPr>
        <w:t>rket share in the EU15</w:t>
      </w:r>
      <w:r w:rsidR="005B3A98" w:rsidRPr="00763118">
        <w:rPr>
          <w:rFonts w:ascii="Arial" w:hAnsi="Arial" w:cs="Arial"/>
        </w:rPr>
        <w:t xml:space="preserve"> represented 1</w:t>
      </w:r>
      <w:proofErr w:type="gramStart"/>
      <w:r w:rsidR="005B3A98" w:rsidRPr="00763118">
        <w:rPr>
          <w:rFonts w:ascii="Arial" w:hAnsi="Arial" w:cs="Arial"/>
        </w:rPr>
        <w:t>,12</w:t>
      </w:r>
      <w:proofErr w:type="gramEnd"/>
      <w:r w:rsidR="005B3A98" w:rsidRPr="00763118">
        <w:rPr>
          <w:rFonts w:ascii="Arial" w:hAnsi="Arial" w:cs="Arial"/>
        </w:rPr>
        <w:t xml:space="preserve">% in 2001, by 2013 it reached 2,24%.  </w:t>
      </w:r>
      <w:r w:rsidR="00A71DF7" w:rsidRPr="00763118">
        <w:rPr>
          <w:rFonts w:ascii="Arial" w:hAnsi="Arial" w:cs="Arial"/>
        </w:rPr>
        <w:t>Several reasons have already been scrutinized that may explain this difference in the trend of exports, shortly summarized below, based on the economic policies implemented in these two countries.</w:t>
      </w:r>
      <w:r w:rsidR="00920664" w:rsidRPr="00763118">
        <w:rPr>
          <w:rFonts w:ascii="Arial" w:hAnsi="Arial" w:cs="Arial"/>
        </w:rPr>
        <w:t xml:space="preserve"> </w:t>
      </w:r>
    </w:p>
    <w:p w:rsidR="002D057A" w:rsidRPr="00763118" w:rsidRDefault="002D057A" w:rsidP="004455CB">
      <w:pPr>
        <w:spacing w:after="0" w:line="240" w:lineRule="auto"/>
        <w:ind w:firstLine="567"/>
        <w:jc w:val="both"/>
        <w:rPr>
          <w:rFonts w:ascii="Arial" w:hAnsi="Arial" w:cs="Arial"/>
        </w:rPr>
      </w:pPr>
      <w:r w:rsidRPr="00763118">
        <w:rPr>
          <w:rStyle w:val="hps"/>
          <w:rFonts w:ascii="Arial" w:hAnsi="Arial" w:cs="Arial"/>
        </w:rPr>
        <w:t>The study is based on</w:t>
      </w:r>
      <w:r w:rsidRPr="00763118">
        <w:rPr>
          <w:rStyle w:val="hps"/>
          <w:rFonts w:ascii="Arial" w:hAnsi="Arial" w:cs="Arial"/>
          <w:color w:val="FF0000"/>
        </w:rPr>
        <w:t xml:space="preserve"> </w:t>
      </w:r>
      <w:r w:rsidRPr="00763118">
        <w:rPr>
          <w:rStyle w:val="hps"/>
          <w:rFonts w:ascii="Arial" w:hAnsi="Arial" w:cs="Arial"/>
        </w:rPr>
        <w:t>(</w:t>
      </w:r>
      <w:proofErr w:type="spellStart"/>
      <w:r w:rsidRPr="00763118">
        <w:rPr>
          <w:rStyle w:val="hps"/>
          <w:rFonts w:ascii="Arial" w:hAnsi="Arial" w:cs="Arial"/>
        </w:rPr>
        <w:t>i</w:t>
      </w:r>
      <w:proofErr w:type="spellEnd"/>
      <w:r w:rsidRPr="00763118">
        <w:rPr>
          <w:rStyle w:val="hps"/>
          <w:rFonts w:ascii="Arial" w:hAnsi="Arial" w:cs="Arial"/>
        </w:rPr>
        <w:t>)</w:t>
      </w:r>
      <w:r w:rsidRPr="00763118">
        <w:rPr>
          <w:rStyle w:val="hps"/>
          <w:rFonts w:ascii="Arial" w:hAnsi="Arial" w:cs="Arial"/>
          <w:color w:val="FF0000"/>
        </w:rPr>
        <w:t xml:space="preserve"> </w:t>
      </w:r>
      <w:r w:rsidRPr="00763118">
        <w:rPr>
          <w:rStyle w:val="hps"/>
          <w:rFonts w:ascii="Arial" w:hAnsi="Arial" w:cs="Arial"/>
        </w:rPr>
        <w:t>a Cons</w:t>
      </w:r>
      <w:r w:rsidRPr="00763118">
        <w:rPr>
          <w:rFonts w:ascii="Arial" w:hAnsi="Arial" w:cs="Arial"/>
        </w:rPr>
        <w:t>tant Market Share analysis, which allows to decompose the export growth into several components, including one usually related to competitiveness</w:t>
      </w:r>
      <w:r w:rsidRPr="00763118">
        <w:rPr>
          <w:rStyle w:val="hps"/>
          <w:rFonts w:ascii="Arial" w:hAnsi="Arial" w:cs="Arial"/>
        </w:rPr>
        <w:t xml:space="preserve"> after controlling for the contribution of the specialization pattern and the geographical orientation of trade</w:t>
      </w:r>
      <w:r w:rsidRPr="00763118">
        <w:rPr>
          <w:rFonts w:ascii="Arial" w:hAnsi="Arial" w:cs="Arial"/>
        </w:rPr>
        <w:t xml:space="preserve">; and (ii) a combination of revealed comparative indexes with a geographical orientation measure, which </w:t>
      </w:r>
      <w:r w:rsidR="00AB7314" w:rsidRPr="00763118">
        <w:rPr>
          <w:rFonts w:ascii="Arial" w:hAnsi="Arial" w:cs="Arial"/>
          <w:lang w:val="en-GB"/>
        </w:rPr>
        <w:t>aims to identify the products in which Portugal and Poland reveal potential to expand their exports to the EU15 market</w:t>
      </w:r>
      <w:r w:rsidR="00AB7314" w:rsidRPr="00763118">
        <w:rPr>
          <w:rFonts w:ascii="Arial" w:hAnsi="Arial" w:cs="Arial"/>
        </w:rPr>
        <w:t xml:space="preserve"> </w:t>
      </w:r>
      <w:r w:rsidRPr="00763118">
        <w:rPr>
          <w:rFonts w:ascii="Arial" w:hAnsi="Arial" w:cs="Arial"/>
        </w:rPr>
        <w:t xml:space="preserve">according to these two characteristics. </w:t>
      </w:r>
    </w:p>
    <w:p w:rsidR="002D057A" w:rsidRPr="00763118" w:rsidRDefault="002D057A" w:rsidP="004455CB">
      <w:pPr>
        <w:spacing w:after="0" w:line="240" w:lineRule="auto"/>
        <w:ind w:firstLine="567"/>
        <w:jc w:val="both"/>
        <w:rPr>
          <w:rFonts w:ascii="Arial" w:hAnsi="Arial" w:cs="Arial"/>
        </w:rPr>
      </w:pPr>
      <w:r w:rsidRPr="00763118">
        <w:rPr>
          <w:rFonts w:ascii="Arial" w:hAnsi="Arial" w:cs="Arial"/>
        </w:rPr>
        <w:t xml:space="preserve">The database comprises 1256 industrial products, from the INTRACEN database, with an aggregation level of 4 digits, divided into 30 groups.  </w:t>
      </w:r>
    </w:p>
    <w:p w:rsidR="002B0D16" w:rsidRDefault="00396987" w:rsidP="004455CB">
      <w:pPr>
        <w:spacing w:after="0" w:line="240" w:lineRule="auto"/>
        <w:ind w:firstLine="567"/>
        <w:jc w:val="both"/>
        <w:rPr>
          <w:rStyle w:val="hps"/>
          <w:rFonts w:ascii="Arial" w:hAnsi="Arial" w:cs="Arial"/>
          <w:lang w:val="en-GB"/>
        </w:rPr>
      </w:pPr>
      <w:r w:rsidRPr="00763118">
        <w:rPr>
          <w:rStyle w:val="hps"/>
          <w:rFonts w:ascii="Arial" w:hAnsi="Arial" w:cs="Arial"/>
          <w:lang w:val="en-GB"/>
        </w:rPr>
        <w:t xml:space="preserve">The analysis will be developed as follows: section 2 </w:t>
      </w:r>
      <w:r w:rsidR="005B3A98" w:rsidRPr="00763118">
        <w:rPr>
          <w:rStyle w:val="hps"/>
          <w:rFonts w:ascii="Arial" w:hAnsi="Arial" w:cs="Arial"/>
          <w:lang w:val="en-GB"/>
        </w:rPr>
        <w:t xml:space="preserve">provides an overview of the export performance of both countries in terms of </w:t>
      </w:r>
      <w:r w:rsidRPr="00763118">
        <w:rPr>
          <w:rStyle w:val="hps"/>
          <w:rFonts w:ascii="Arial" w:hAnsi="Arial" w:cs="Arial"/>
          <w:lang w:val="en-GB"/>
        </w:rPr>
        <w:t xml:space="preserve">their revealed comparative advantage </w:t>
      </w:r>
      <w:r w:rsidR="005B3A98" w:rsidRPr="00763118">
        <w:rPr>
          <w:rStyle w:val="hps"/>
          <w:rFonts w:ascii="Arial" w:hAnsi="Arial" w:cs="Arial"/>
          <w:lang w:val="en-GB"/>
        </w:rPr>
        <w:t xml:space="preserve">and the economic policies undertaken </w:t>
      </w:r>
      <w:r w:rsidRPr="00763118">
        <w:rPr>
          <w:rStyle w:val="hps"/>
          <w:rFonts w:ascii="Arial" w:hAnsi="Arial" w:cs="Arial"/>
          <w:lang w:val="en-GB"/>
        </w:rPr>
        <w:t xml:space="preserve">in </w:t>
      </w:r>
      <w:r w:rsidR="005B3A98" w:rsidRPr="00763118">
        <w:rPr>
          <w:rStyle w:val="hps"/>
          <w:rFonts w:ascii="Arial" w:hAnsi="Arial" w:cs="Arial"/>
          <w:lang w:val="en-GB"/>
        </w:rPr>
        <w:t xml:space="preserve">the period under observation; </w:t>
      </w:r>
      <w:r w:rsidRPr="00763118">
        <w:rPr>
          <w:rStyle w:val="hps"/>
          <w:rFonts w:ascii="Arial" w:hAnsi="Arial" w:cs="Arial"/>
          <w:lang w:val="en-GB"/>
        </w:rPr>
        <w:t xml:space="preserve">section 3 presents </w:t>
      </w:r>
      <w:r w:rsidR="00F649BC" w:rsidRPr="00763118">
        <w:rPr>
          <w:rStyle w:val="hps"/>
          <w:rFonts w:ascii="Arial" w:hAnsi="Arial" w:cs="Arial"/>
          <w:lang w:val="en-GB"/>
        </w:rPr>
        <w:t>the methodology</w:t>
      </w:r>
      <w:r w:rsidR="00AB7314" w:rsidRPr="00763118">
        <w:rPr>
          <w:rStyle w:val="hps"/>
          <w:rFonts w:ascii="Arial" w:hAnsi="Arial" w:cs="Arial"/>
          <w:lang w:val="en-GB"/>
        </w:rPr>
        <w:t xml:space="preserve"> used</w:t>
      </w:r>
      <w:r w:rsidR="005B3A98" w:rsidRPr="00763118">
        <w:rPr>
          <w:rStyle w:val="hps"/>
          <w:rFonts w:ascii="Arial" w:hAnsi="Arial" w:cs="Arial"/>
          <w:lang w:val="en-GB"/>
        </w:rPr>
        <w:t xml:space="preserve"> in this paper </w:t>
      </w:r>
      <w:r w:rsidR="00870C47" w:rsidRPr="00763118">
        <w:rPr>
          <w:rStyle w:val="hps"/>
          <w:rFonts w:ascii="Arial" w:hAnsi="Arial" w:cs="Arial"/>
          <w:lang w:val="en-GB"/>
        </w:rPr>
        <w:t>and section</w:t>
      </w:r>
      <w:r w:rsidR="00AB7314" w:rsidRPr="00763118">
        <w:rPr>
          <w:rStyle w:val="hps"/>
          <w:rFonts w:ascii="Arial" w:hAnsi="Arial" w:cs="Arial"/>
          <w:lang w:val="en-GB"/>
        </w:rPr>
        <w:t xml:space="preserve"> 4 </w:t>
      </w:r>
      <w:r w:rsidR="005B3A98" w:rsidRPr="00763118">
        <w:rPr>
          <w:rStyle w:val="hps"/>
          <w:rFonts w:ascii="Arial" w:hAnsi="Arial" w:cs="Arial"/>
          <w:lang w:val="en-GB"/>
        </w:rPr>
        <w:t>the empirical evidence obtained;</w:t>
      </w:r>
      <w:r w:rsidRPr="00763118">
        <w:rPr>
          <w:rFonts w:ascii="Arial" w:hAnsi="Arial" w:cs="Arial"/>
          <w:lang w:val="en-GB"/>
        </w:rPr>
        <w:t xml:space="preserve"> finally, section 5 concludes.</w:t>
      </w:r>
      <w:r w:rsidRPr="00763118">
        <w:rPr>
          <w:rStyle w:val="hps"/>
          <w:rFonts w:ascii="Arial" w:hAnsi="Arial" w:cs="Arial"/>
          <w:lang w:val="en-GB"/>
        </w:rPr>
        <w:t xml:space="preserve"> </w:t>
      </w:r>
    </w:p>
    <w:p w:rsidR="00C630B8" w:rsidRPr="002B0D16" w:rsidRDefault="002B0D16" w:rsidP="004455CB">
      <w:pPr>
        <w:spacing w:before="220" w:after="220" w:line="240" w:lineRule="auto"/>
        <w:jc w:val="both"/>
        <w:rPr>
          <w:rFonts w:ascii="Arial" w:hAnsi="Arial" w:cs="Arial"/>
          <w:b/>
          <w:lang w:val="en-GB"/>
        </w:rPr>
      </w:pPr>
      <w:r w:rsidRPr="002B0D16">
        <w:rPr>
          <w:rStyle w:val="hps"/>
          <w:rFonts w:ascii="Arial" w:hAnsi="Arial" w:cs="Arial"/>
          <w:b/>
          <w:lang w:val="en-GB"/>
        </w:rPr>
        <w:t>II. SIMILARITIES AND DISSIMILARITIES THAT FRAME THE EXPORT PERFORMANCE OF PORTUGAL AND POLAND</w:t>
      </w:r>
    </w:p>
    <w:p w:rsidR="009100AC" w:rsidRPr="00763118" w:rsidRDefault="009100AC" w:rsidP="004455CB">
      <w:pPr>
        <w:spacing w:after="0" w:line="240" w:lineRule="auto"/>
        <w:ind w:firstLine="567"/>
        <w:jc w:val="both"/>
        <w:rPr>
          <w:rFonts w:ascii="Arial" w:eastAsia="Times New Roman" w:hAnsi="Arial" w:cs="Arial"/>
          <w:smallCaps/>
        </w:rPr>
      </w:pPr>
      <w:r w:rsidRPr="00763118">
        <w:rPr>
          <w:rFonts w:ascii="Arial" w:eastAsia="Times New Roman" w:hAnsi="Arial" w:cs="Arial"/>
          <w:smallCaps/>
        </w:rPr>
        <w:tab/>
      </w:r>
      <w:r w:rsidRPr="00763118">
        <w:rPr>
          <w:rFonts w:ascii="Arial" w:hAnsi="Arial" w:cs="Arial"/>
        </w:rPr>
        <w:t xml:space="preserve"> In order to evaluate and compare both </w:t>
      </w:r>
      <w:r w:rsidR="00C630B8" w:rsidRPr="00763118">
        <w:rPr>
          <w:rFonts w:ascii="Arial" w:hAnsi="Arial" w:cs="Arial"/>
        </w:rPr>
        <w:t>countries</w:t>
      </w:r>
      <w:r w:rsidRPr="00763118">
        <w:rPr>
          <w:rFonts w:ascii="Arial" w:hAnsi="Arial" w:cs="Arial"/>
        </w:rPr>
        <w:t xml:space="preserve"> specialization pattern </w:t>
      </w:r>
      <w:r w:rsidR="00DE25B0" w:rsidRPr="00763118">
        <w:rPr>
          <w:rFonts w:ascii="Arial" w:hAnsi="Arial" w:cs="Arial"/>
        </w:rPr>
        <w:t xml:space="preserve">in trade with EU15, the following </w:t>
      </w:r>
      <w:r w:rsidR="0056574E" w:rsidRPr="00763118">
        <w:rPr>
          <w:rFonts w:ascii="Arial" w:hAnsi="Arial" w:cs="Arial"/>
        </w:rPr>
        <w:t>adapted</w:t>
      </w:r>
      <w:r w:rsidRPr="00763118">
        <w:rPr>
          <w:rFonts w:ascii="Arial" w:hAnsi="Arial" w:cs="Arial"/>
        </w:rPr>
        <w:t xml:space="preserve"> </w:t>
      </w:r>
      <w:proofErr w:type="spellStart"/>
      <w:r w:rsidRPr="00763118">
        <w:rPr>
          <w:rFonts w:ascii="Arial" w:hAnsi="Arial" w:cs="Arial"/>
        </w:rPr>
        <w:t>Balassa’s</w:t>
      </w:r>
      <w:proofErr w:type="spellEnd"/>
      <w:r w:rsidRPr="00763118">
        <w:rPr>
          <w:rFonts w:ascii="Arial" w:hAnsi="Arial" w:cs="Arial"/>
        </w:rPr>
        <w:t xml:space="preserve"> Revea</w:t>
      </w:r>
      <w:r w:rsidR="00DE25B0" w:rsidRPr="00763118">
        <w:rPr>
          <w:rFonts w:ascii="Arial" w:hAnsi="Arial" w:cs="Arial"/>
        </w:rPr>
        <w:t>led Comparative Advantage index</w:t>
      </w:r>
      <w:r w:rsidR="004279F4" w:rsidRPr="00763118">
        <w:rPr>
          <w:rFonts w:ascii="Arial" w:hAnsi="Arial" w:cs="Arial"/>
        </w:rPr>
        <w:t xml:space="preserve"> was used</w:t>
      </w:r>
      <w:r w:rsidR="00DE25B0" w:rsidRPr="00763118">
        <w:rPr>
          <w:rFonts w:ascii="Arial" w:hAnsi="Arial" w:cs="Arial"/>
        </w:rPr>
        <w:t>:</w:t>
      </w:r>
      <w:r w:rsidR="0056574E" w:rsidRPr="00763118">
        <w:rPr>
          <w:rFonts w:ascii="Arial" w:hAnsi="Arial" w:cs="Arial"/>
        </w:rPr>
        <w:t xml:space="preserve"> </w:t>
      </w:r>
    </w:p>
    <w:p w:rsidR="00F01305" w:rsidRPr="004455CB" w:rsidRDefault="00CA3DB6" w:rsidP="00B81348">
      <w:pPr>
        <w:spacing w:before="220" w:after="220" w:line="240" w:lineRule="auto"/>
        <w:ind w:firstLine="567"/>
        <w:jc w:val="both"/>
        <w:rPr>
          <w:rFonts w:ascii="Arial" w:hAnsi="Arial" w:cs="Arial"/>
        </w:rPr>
      </w:pPr>
      <m:oMathPara>
        <m:oMathParaPr>
          <m:jc m:val="left"/>
        </m:oMathParaPr>
        <m:oMath>
          <m:sSub>
            <m:sSubPr>
              <m:ctrlPr>
                <w:rPr>
                  <w:rFonts w:ascii="Cambria Math" w:hAnsi="Cambria Math" w:cs="Arial"/>
                  <w:lang w:val="en-GB"/>
                </w:rPr>
              </m:ctrlPr>
            </m:sSubPr>
            <m:e>
              <m:r>
                <m:rPr>
                  <m:sty m:val="p"/>
                </m:rPr>
                <w:rPr>
                  <w:rFonts w:ascii="Cambria Math" w:hAnsi="Cambria Math" w:cs="Arial"/>
                </w:rPr>
                <m:t>RCA</m:t>
              </m:r>
            </m:e>
            <m:sub>
              <m:r>
                <m:rPr>
                  <m:sty m:val="p"/>
                </m:rPr>
                <w:rPr>
                  <w:rFonts w:ascii="Cambria Math" w:hAnsi="Cambria Math" w:cs="Arial"/>
                </w:rPr>
                <m:t>i-j,a</m:t>
              </m:r>
            </m:sub>
          </m:sSub>
          <m:r>
            <m:rPr>
              <m:sty m:val="p"/>
            </m:rPr>
            <w:rPr>
              <w:rFonts w:ascii="Cambria Math" w:hAnsi="Cambria Math" w:cs="Arial"/>
            </w:rPr>
            <m:t>=</m:t>
          </m:r>
          <m:f>
            <m:fPr>
              <m:ctrlPr>
                <w:rPr>
                  <w:rFonts w:ascii="Cambria Math" w:hAnsi="Cambria Math" w:cs="Arial"/>
                  <w:lang w:val="en-GB"/>
                </w:rPr>
              </m:ctrlPr>
            </m:fPr>
            <m:num>
              <m:f>
                <m:fPr>
                  <m:ctrlPr>
                    <w:rPr>
                      <w:rFonts w:ascii="Cambria Math" w:hAnsi="Cambria Math" w:cs="Arial"/>
                      <w:lang w:val="en-GB"/>
                    </w:rPr>
                  </m:ctrlPr>
                </m:fPr>
                <m:num>
                  <m:sSub>
                    <m:sSubPr>
                      <m:ctrlPr>
                        <w:rPr>
                          <w:rFonts w:ascii="Cambria Math" w:hAnsi="Cambria Math" w:cs="Arial"/>
                          <w:lang w:val="en-GB"/>
                        </w:rPr>
                      </m:ctrlPr>
                    </m:sSubPr>
                    <m:e>
                      <m:r>
                        <m:rPr>
                          <m:sty m:val="p"/>
                        </m:rPr>
                        <w:rPr>
                          <w:rFonts w:ascii="Cambria Math" w:hAnsi="Cambria Math" w:cs="Arial"/>
                        </w:rPr>
                        <m:t>X</m:t>
                      </m:r>
                    </m:e>
                    <m:sub>
                      <m:r>
                        <m:rPr>
                          <m:sty m:val="p"/>
                        </m:rPr>
                        <w:rPr>
                          <w:rFonts w:ascii="Cambria Math" w:hAnsi="Cambria Math" w:cs="Arial"/>
                        </w:rPr>
                        <m:t>i-j, a</m:t>
                      </m:r>
                    </m:sub>
                  </m:sSub>
                </m:num>
                <m:den>
                  <m:sSub>
                    <m:sSubPr>
                      <m:ctrlPr>
                        <w:rPr>
                          <w:rFonts w:ascii="Cambria Math" w:hAnsi="Cambria Math" w:cs="Arial"/>
                          <w:lang w:val="en-GB"/>
                        </w:rPr>
                      </m:ctrlPr>
                    </m:sSubPr>
                    <m:e>
                      <m:r>
                        <m:rPr>
                          <m:sty m:val="p"/>
                        </m:rPr>
                        <w:rPr>
                          <w:rFonts w:ascii="Cambria Math" w:hAnsi="Cambria Math" w:cs="Arial"/>
                        </w:rPr>
                        <m:t>X</m:t>
                      </m:r>
                    </m:e>
                    <m:sub>
                      <m:r>
                        <m:rPr>
                          <m:sty m:val="p"/>
                        </m:rPr>
                        <w:rPr>
                          <w:rFonts w:ascii="Cambria Math" w:hAnsi="Cambria Math" w:cs="Arial"/>
                        </w:rPr>
                        <m:t>i-j</m:t>
                      </m:r>
                    </m:sub>
                  </m:sSub>
                </m:den>
              </m:f>
            </m:num>
            <m:den>
              <m:f>
                <m:fPr>
                  <m:ctrlPr>
                    <w:rPr>
                      <w:rFonts w:ascii="Cambria Math" w:hAnsi="Cambria Math" w:cs="Arial"/>
                      <w:lang w:val="en-GB"/>
                    </w:rPr>
                  </m:ctrlPr>
                </m:fPr>
                <m:num>
                  <m:sSub>
                    <m:sSubPr>
                      <m:ctrlPr>
                        <w:rPr>
                          <w:rFonts w:ascii="Cambria Math" w:hAnsi="Cambria Math" w:cs="Arial"/>
                          <w:lang w:val="en-GB"/>
                        </w:rPr>
                      </m:ctrlPr>
                    </m:sSubPr>
                    <m:e>
                      <m:r>
                        <m:rPr>
                          <m:sty m:val="p"/>
                        </m:rPr>
                        <w:rPr>
                          <w:rFonts w:ascii="Cambria Math" w:hAnsi="Cambria Math" w:cs="Arial"/>
                        </w:rPr>
                        <m:t>M</m:t>
                      </m:r>
                    </m:e>
                    <m:sub>
                      <m:r>
                        <m:rPr>
                          <m:sty m:val="p"/>
                        </m:rPr>
                        <w:rPr>
                          <w:rFonts w:ascii="Cambria Math" w:hAnsi="Cambria Math" w:cs="Arial"/>
                        </w:rPr>
                        <m:t>j,a</m:t>
                      </m:r>
                    </m:sub>
                  </m:sSub>
                </m:num>
                <m:den>
                  <m:sSub>
                    <m:sSubPr>
                      <m:ctrlPr>
                        <w:rPr>
                          <w:rFonts w:ascii="Cambria Math" w:hAnsi="Cambria Math" w:cs="Arial"/>
                          <w:lang w:val="en-GB"/>
                        </w:rPr>
                      </m:ctrlPr>
                    </m:sSubPr>
                    <m:e>
                      <m:r>
                        <m:rPr>
                          <m:sty m:val="p"/>
                        </m:rPr>
                        <w:rPr>
                          <w:rFonts w:ascii="Cambria Math" w:hAnsi="Cambria Math" w:cs="Arial"/>
                        </w:rPr>
                        <m:t>M</m:t>
                      </m:r>
                    </m:e>
                    <m:sub>
                      <m:r>
                        <m:rPr>
                          <m:sty m:val="p"/>
                        </m:rPr>
                        <w:rPr>
                          <w:rFonts w:ascii="Cambria Math" w:hAnsi="Cambria Math" w:cs="Arial"/>
                        </w:rPr>
                        <m:t>j</m:t>
                      </m:r>
                    </m:sub>
                  </m:sSub>
                </m:den>
              </m:f>
            </m:den>
          </m:f>
        </m:oMath>
      </m:oMathPara>
    </w:p>
    <w:p w:rsidR="0056574E" w:rsidRPr="00763118" w:rsidRDefault="0056574E" w:rsidP="004455CB">
      <w:pPr>
        <w:spacing w:after="0" w:line="240" w:lineRule="auto"/>
        <w:ind w:firstLine="567"/>
        <w:jc w:val="both"/>
        <w:rPr>
          <w:rFonts w:ascii="Arial" w:hAnsi="Arial" w:cs="Arial"/>
        </w:rPr>
      </w:pPr>
      <w:r w:rsidRPr="00763118">
        <w:rPr>
          <w:rFonts w:ascii="Arial" w:hAnsi="Arial" w:cs="Arial"/>
        </w:rPr>
        <w:lastRenderedPageBreak/>
        <w:t xml:space="preserve">Where, </w:t>
      </w:r>
      <w:proofErr w:type="spellStart"/>
      <w:proofErr w:type="gramStart"/>
      <w:r w:rsidRPr="00763118">
        <w:rPr>
          <w:rFonts w:ascii="Arial" w:hAnsi="Arial" w:cs="Arial"/>
          <w:i/>
        </w:rPr>
        <w:t>a</w:t>
      </w:r>
      <w:proofErr w:type="spellEnd"/>
      <w:r w:rsidRPr="00763118">
        <w:rPr>
          <w:rFonts w:ascii="Arial" w:hAnsi="Arial" w:cs="Arial"/>
        </w:rPr>
        <w:t xml:space="preserve"> is</w:t>
      </w:r>
      <w:proofErr w:type="gramEnd"/>
      <w:r w:rsidRPr="00763118">
        <w:rPr>
          <w:rFonts w:ascii="Arial" w:hAnsi="Arial" w:cs="Arial"/>
        </w:rPr>
        <w:t xml:space="preserve"> the group</w:t>
      </w:r>
      <w:r w:rsidR="00C630B8" w:rsidRPr="00763118">
        <w:rPr>
          <w:rFonts w:ascii="Arial" w:hAnsi="Arial" w:cs="Arial"/>
        </w:rPr>
        <w:t xml:space="preserve"> of products (defined in appendix I)</w:t>
      </w:r>
      <w:r w:rsidRPr="00763118">
        <w:rPr>
          <w:rFonts w:ascii="Arial" w:hAnsi="Arial" w:cs="Arial"/>
        </w:rPr>
        <w:t xml:space="preserve">; </w:t>
      </w:r>
      <w:proofErr w:type="spellStart"/>
      <w:r w:rsidRPr="00763118">
        <w:rPr>
          <w:rFonts w:ascii="Arial" w:hAnsi="Arial" w:cs="Arial"/>
          <w:i/>
        </w:rPr>
        <w:t>i</w:t>
      </w:r>
      <w:proofErr w:type="spellEnd"/>
      <w:r w:rsidRPr="00763118">
        <w:rPr>
          <w:rFonts w:ascii="Arial" w:hAnsi="Arial" w:cs="Arial"/>
        </w:rPr>
        <w:t xml:space="preserve"> is the exporting country (either Portugal or Poland); </w:t>
      </w:r>
      <w:r w:rsidRPr="00763118">
        <w:rPr>
          <w:rFonts w:ascii="Arial" w:hAnsi="Arial" w:cs="Arial"/>
          <w:i/>
        </w:rPr>
        <w:t>j</w:t>
      </w:r>
      <w:r w:rsidRPr="00763118">
        <w:rPr>
          <w:rFonts w:ascii="Arial" w:hAnsi="Arial" w:cs="Arial"/>
        </w:rPr>
        <w:t xml:space="preserve"> is the importing area (UE15); </w:t>
      </w:r>
      <w:r w:rsidRPr="00763118">
        <w:rPr>
          <w:rFonts w:ascii="Arial" w:hAnsi="Arial" w:cs="Arial"/>
          <w:i/>
        </w:rPr>
        <w:t xml:space="preserve">X </w:t>
      </w:r>
      <w:r w:rsidRPr="00763118">
        <w:rPr>
          <w:rFonts w:ascii="Arial" w:hAnsi="Arial" w:cs="Arial"/>
        </w:rPr>
        <w:t xml:space="preserve">are the exports; and </w:t>
      </w:r>
      <w:r w:rsidRPr="00763118">
        <w:rPr>
          <w:rFonts w:ascii="Arial" w:hAnsi="Arial" w:cs="Arial"/>
          <w:i/>
        </w:rPr>
        <w:t xml:space="preserve">M </w:t>
      </w:r>
      <w:r w:rsidRPr="00763118">
        <w:rPr>
          <w:rFonts w:ascii="Arial" w:hAnsi="Arial" w:cs="Arial"/>
        </w:rPr>
        <w:t>are the imports.</w:t>
      </w:r>
    </w:p>
    <w:p w:rsidR="00782A1B" w:rsidRPr="00763118" w:rsidRDefault="0056574E" w:rsidP="004455CB">
      <w:pPr>
        <w:spacing w:after="0" w:line="240" w:lineRule="auto"/>
        <w:ind w:firstLine="567"/>
        <w:jc w:val="both"/>
        <w:rPr>
          <w:rFonts w:ascii="Arial" w:hAnsi="Arial" w:cs="Arial"/>
        </w:rPr>
      </w:pPr>
      <w:r w:rsidRPr="00763118">
        <w:rPr>
          <w:rFonts w:ascii="Arial" w:hAnsi="Arial" w:cs="Arial"/>
        </w:rPr>
        <w:t>If the revealed comparative advantage is greater than one, it means that the exporting country ha</w:t>
      </w:r>
      <w:r w:rsidR="00C630B8" w:rsidRPr="00763118">
        <w:rPr>
          <w:rFonts w:ascii="Arial" w:hAnsi="Arial" w:cs="Arial"/>
        </w:rPr>
        <w:t>s comparative advantage in exporting that group of products to the E</w:t>
      </w:r>
      <w:r w:rsidR="00DE25B0" w:rsidRPr="00763118">
        <w:rPr>
          <w:rFonts w:ascii="Arial" w:hAnsi="Arial" w:cs="Arial"/>
        </w:rPr>
        <w:t xml:space="preserve">U15 </w:t>
      </w:r>
      <w:r w:rsidR="00C630B8" w:rsidRPr="00763118">
        <w:rPr>
          <w:rFonts w:ascii="Arial" w:hAnsi="Arial" w:cs="Arial"/>
        </w:rPr>
        <w:t xml:space="preserve">as </w:t>
      </w:r>
      <w:r w:rsidR="00DE25B0" w:rsidRPr="00763118">
        <w:rPr>
          <w:rFonts w:ascii="Arial" w:hAnsi="Arial" w:cs="Arial"/>
        </w:rPr>
        <w:t>the</w:t>
      </w:r>
      <w:r w:rsidR="00C630B8" w:rsidRPr="00763118">
        <w:rPr>
          <w:rFonts w:ascii="Arial" w:hAnsi="Arial" w:cs="Arial"/>
        </w:rPr>
        <w:t xml:space="preserve"> relative exports</w:t>
      </w:r>
      <w:r w:rsidR="00DE25B0" w:rsidRPr="00763118">
        <w:rPr>
          <w:rFonts w:ascii="Arial" w:hAnsi="Arial" w:cs="Arial"/>
        </w:rPr>
        <w:t xml:space="preserve"> </w:t>
      </w:r>
      <w:r w:rsidR="00975C20" w:rsidRPr="00763118">
        <w:rPr>
          <w:rFonts w:ascii="Arial" w:hAnsi="Arial" w:cs="Arial"/>
        </w:rPr>
        <w:t xml:space="preserve">of that </w:t>
      </w:r>
      <w:r w:rsidR="00C630B8" w:rsidRPr="00763118">
        <w:rPr>
          <w:rFonts w:ascii="Arial" w:hAnsi="Arial" w:cs="Arial"/>
        </w:rPr>
        <w:t>group</w:t>
      </w:r>
      <w:r w:rsidR="00975C20" w:rsidRPr="00763118">
        <w:rPr>
          <w:rFonts w:ascii="Arial" w:hAnsi="Arial" w:cs="Arial"/>
        </w:rPr>
        <w:t xml:space="preserve"> of products</w:t>
      </w:r>
      <w:r w:rsidR="00C630B8" w:rsidRPr="00763118">
        <w:rPr>
          <w:rFonts w:ascii="Arial" w:hAnsi="Arial" w:cs="Arial"/>
        </w:rPr>
        <w:t xml:space="preserve"> in the total exports of that</w:t>
      </w:r>
      <w:r w:rsidR="00DE25B0" w:rsidRPr="00763118">
        <w:rPr>
          <w:rFonts w:ascii="Arial" w:hAnsi="Arial" w:cs="Arial"/>
        </w:rPr>
        <w:t xml:space="preserve"> country to the European Union </w:t>
      </w:r>
      <w:r w:rsidR="00C630B8" w:rsidRPr="00763118">
        <w:rPr>
          <w:rFonts w:ascii="Arial" w:hAnsi="Arial" w:cs="Arial"/>
        </w:rPr>
        <w:t>are greater than the relative world exports</w:t>
      </w:r>
      <w:r w:rsidR="00DE25B0" w:rsidRPr="00763118">
        <w:rPr>
          <w:rFonts w:ascii="Arial" w:hAnsi="Arial" w:cs="Arial"/>
        </w:rPr>
        <w:t xml:space="preserve"> </w:t>
      </w:r>
      <w:r w:rsidR="00C630B8" w:rsidRPr="00763118">
        <w:rPr>
          <w:rFonts w:ascii="Arial" w:hAnsi="Arial" w:cs="Arial"/>
        </w:rPr>
        <w:t xml:space="preserve">of that group in the total world exports to the </w:t>
      </w:r>
      <w:r w:rsidR="00DE25B0" w:rsidRPr="00763118">
        <w:rPr>
          <w:rFonts w:ascii="Arial" w:hAnsi="Arial" w:cs="Arial"/>
        </w:rPr>
        <w:t xml:space="preserve">same destiny </w:t>
      </w:r>
      <w:r w:rsidR="00780D37" w:rsidRPr="00763118">
        <w:rPr>
          <w:rFonts w:ascii="Arial" w:hAnsi="Arial" w:cs="Arial"/>
        </w:rPr>
        <w:t xml:space="preserve">market. </w:t>
      </w:r>
    </w:p>
    <w:p w:rsidR="00940931" w:rsidRDefault="00780D37" w:rsidP="004455CB">
      <w:pPr>
        <w:spacing w:after="0" w:line="240" w:lineRule="auto"/>
        <w:ind w:firstLine="567"/>
        <w:jc w:val="both"/>
        <w:rPr>
          <w:rFonts w:ascii="Arial" w:hAnsi="Arial" w:cs="Arial"/>
        </w:rPr>
      </w:pPr>
      <w:r w:rsidRPr="00763118">
        <w:rPr>
          <w:rFonts w:ascii="Arial" w:hAnsi="Arial" w:cs="Arial"/>
        </w:rPr>
        <w:t>The</w:t>
      </w:r>
      <w:r w:rsidR="0056574E" w:rsidRPr="00763118">
        <w:rPr>
          <w:rFonts w:ascii="Arial" w:hAnsi="Arial" w:cs="Arial"/>
        </w:rPr>
        <w:t xml:space="preserve"> </w:t>
      </w:r>
      <w:r w:rsidR="00E005F6">
        <w:rPr>
          <w:rFonts w:ascii="Arial" w:hAnsi="Arial" w:cs="Arial"/>
        </w:rPr>
        <w:t>results are shown in table 1</w:t>
      </w:r>
      <w:r w:rsidR="00E85337" w:rsidRPr="00763118">
        <w:rPr>
          <w:rFonts w:ascii="Arial" w:hAnsi="Arial" w:cs="Arial"/>
        </w:rPr>
        <w:t>.</w:t>
      </w:r>
    </w:p>
    <w:p w:rsidR="00E005F6" w:rsidRDefault="00E85337" w:rsidP="004455CB">
      <w:pPr>
        <w:spacing w:after="0" w:line="240" w:lineRule="auto"/>
        <w:ind w:firstLine="567"/>
        <w:jc w:val="both"/>
        <w:rPr>
          <w:rFonts w:ascii="Arial" w:hAnsi="Arial" w:cs="Arial"/>
        </w:rPr>
      </w:pPr>
      <w:r w:rsidRPr="00763118">
        <w:rPr>
          <w:rFonts w:ascii="Arial" w:hAnsi="Arial" w:cs="Arial"/>
        </w:rPr>
        <w:t xml:space="preserve"> </w:t>
      </w:r>
    </w:p>
    <w:p w:rsidR="00E005F6" w:rsidRPr="00940931" w:rsidRDefault="00940931" w:rsidP="00940931">
      <w:pPr>
        <w:spacing w:after="0" w:line="240" w:lineRule="auto"/>
        <w:ind w:firstLine="567"/>
        <w:jc w:val="center"/>
        <w:rPr>
          <w:rFonts w:ascii="Arial" w:hAnsi="Arial" w:cs="Arial"/>
          <w:b/>
        </w:rPr>
      </w:pPr>
      <w:proofErr w:type="gramStart"/>
      <w:r w:rsidRPr="002B0D16">
        <w:rPr>
          <w:rFonts w:ascii="Arial" w:hAnsi="Arial" w:cs="Arial"/>
          <w:b/>
        </w:rPr>
        <w:t>Table 1.</w:t>
      </w:r>
      <w:proofErr w:type="gramEnd"/>
      <w:r w:rsidRPr="002B0D16">
        <w:rPr>
          <w:rFonts w:ascii="Arial" w:hAnsi="Arial" w:cs="Arial"/>
          <w:b/>
        </w:rPr>
        <w:t xml:space="preserve"> RCA’s of Portugal and Poland to the EU15</w:t>
      </w:r>
    </w:p>
    <w:tbl>
      <w:tblPr>
        <w:tblW w:w="9030" w:type="dxa"/>
        <w:tblInd w:w="70" w:type="dxa"/>
        <w:tblCellMar>
          <w:left w:w="70" w:type="dxa"/>
          <w:right w:w="70" w:type="dxa"/>
        </w:tblCellMar>
        <w:tblLook w:val="04A0"/>
      </w:tblPr>
      <w:tblGrid>
        <w:gridCol w:w="1140"/>
        <w:gridCol w:w="1315"/>
        <w:gridCol w:w="1315"/>
        <w:gridCol w:w="1315"/>
        <w:gridCol w:w="1315"/>
        <w:gridCol w:w="1315"/>
        <w:gridCol w:w="1315"/>
      </w:tblGrid>
      <w:tr w:rsidR="00E005F6" w:rsidRPr="00E005F6" w:rsidTr="002B0D16">
        <w:trPr>
          <w:trHeight w:val="300"/>
        </w:trPr>
        <w:tc>
          <w:tcPr>
            <w:tcW w:w="1140" w:type="dxa"/>
            <w:tcBorders>
              <w:top w:val="nil"/>
              <w:left w:val="nil"/>
              <w:bottom w:val="nil"/>
              <w:right w:val="nil"/>
            </w:tcBorders>
            <w:shd w:val="clear" w:color="auto" w:fill="auto"/>
            <w:noWrap/>
            <w:vAlign w:val="center"/>
            <w:hideMark/>
          </w:tcPr>
          <w:p w:rsidR="00E005F6" w:rsidRPr="00EE1BC8" w:rsidRDefault="00E005F6" w:rsidP="004455CB">
            <w:pPr>
              <w:spacing w:after="0" w:line="240" w:lineRule="auto"/>
              <w:rPr>
                <w:rFonts w:ascii="Times New Roman" w:eastAsia="Times New Roman" w:hAnsi="Times New Roman" w:cs="Times New Roman"/>
                <w:sz w:val="24"/>
                <w:szCs w:val="24"/>
              </w:rPr>
            </w:pPr>
          </w:p>
        </w:tc>
        <w:tc>
          <w:tcPr>
            <w:tcW w:w="394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Portugal</w:t>
            </w:r>
          </w:p>
        </w:tc>
        <w:tc>
          <w:tcPr>
            <w:tcW w:w="3945" w:type="dxa"/>
            <w:gridSpan w:val="3"/>
            <w:tcBorders>
              <w:top w:val="single" w:sz="8" w:space="0" w:color="auto"/>
              <w:left w:val="nil"/>
              <w:bottom w:val="single" w:sz="4" w:space="0" w:color="auto"/>
              <w:right w:val="single" w:sz="8" w:space="0" w:color="000000"/>
            </w:tcBorders>
            <w:shd w:val="clear" w:color="auto" w:fill="auto"/>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Poland</w:t>
            </w:r>
            <w:proofErr w:type="spellEnd"/>
          </w:p>
        </w:tc>
      </w:tr>
      <w:tr w:rsidR="00E005F6" w:rsidRPr="00E005F6" w:rsidTr="002B0D16">
        <w:trPr>
          <w:trHeight w:val="300"/>
        </w:trPr>
        <w:tc>
          <w:tcPr>
            <w:tcW w:w="1140" w:type="dxa"/>
            <w:tcBorders>
              <w:top w:val="nil"/>
              <w:left w:val="nil"/>
              <w:bottom w:val="nil"/>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2001-2003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2004-2008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2009-2013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2001-2003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2004-2008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r w:rsidRPr="00E005F6">
              <w:rPr>
                <w:rFonts w:ascii="Arial" w:eastAsia="Times New Roman" w:hAnsi="Arial" w:cs="Arial"/>
                <w:b/>
                <w:bCs/>
                <w:color w:val="000000"/>
                <w:lang w:val="pt-PT"/>
              </w:rPr>
              <w:t>2009-2013</w:t>
            </w:r>
          </w:p>
        </w:tc>
      </w:tr>
      <w:tr w:rsidR="00E005F6" w:rsidRPr="00E005F6" w:rsidTr="002B0D16">
        <w:trPr>
          <w:trHeight w:val="300"/>
        </w:trPr>
        <w:tc>
          <w:tcPr>
            <w:tcW w:w="1140" w:type="dxa"/>
            <w:tcBorders>
              <w:top w:val="single" w:sz="4" w:space="0" w:color="auto"/>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1,69</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1,75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1,67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3</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0,63</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0,79</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4</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0,82</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5</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1,02</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1,29</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6</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1,50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2,06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1,94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0,59</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1,28</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7</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1,90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1,42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0,11</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0,05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8</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0,13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0,33</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9</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0,32</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0,26</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10</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0,24</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11</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12</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1,12</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1,70</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13</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0,13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0,17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0,48</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14</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1,34</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1,71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1,56</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15</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0,57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1,53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0,93</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0,63</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16</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3,91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3,55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4,06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2,54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2,27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2,14</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17</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2,26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1,60</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18</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1,94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2,06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2,41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0,61</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19</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3,42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2,28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2,48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20</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4,04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3,34</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2,71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1,96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1,01</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0,88</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21</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6,84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5,61</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5,35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0,36</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22</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2,99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3,85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3,99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1,72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1,71</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1,85</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23</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0,12</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0,46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0,62</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24</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2,04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1,68</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1,59</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25</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0,92</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1,01</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0,96</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26</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1,29</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1,33</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1,16</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1,41</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27</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0,66</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0,99</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1,29</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28</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1,37</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1,35</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1,41</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1,35</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1,53</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1,64</w:t>
            </w:r>
          </w:p>
        </w:tc>
      </w:tr>
      <w:tr w:rsidR="00E005F6" w:rsidRPr="00E005F6" w:rsidTr="002B0D16">
        <w:trPr>
          <w:trHeight w:val="300"/>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29</w:t>
            </w:r>
          </w:p>
        </w:tc>
        <w:tc>
          <w:tcPr>
            <w:tcW w:w="1315" w:type="dxa"/>
            <w:tcBorders>
              <w:top w:val="nil"/>
              <w:left w:val="single" w:sz="8" w:space="0" w:color="auto"/>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0,34</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0,27</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0,38</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0,20</w:t>
            </w:r>
          </w:p>
        </w:tc>
        <w:tc>
          <w:tcPr>
            <w:tcW w:w="1315" w:type="dxa"/>
            <w:tcBorders>
              <w:top w:val="nil"/>
              <w:left w:val="nil"/>
              <w:bottom w:val="single" w:sz="4"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0,30</w:t>
            </w:r>
          </w:p>
        </w:tc>
        <w:tc>
          <w:tcPr>
            <w:tcW w:w="1315" w:type="dxa"/>
            <w:tcBorders>
              <w:top w:val="nil"/>
              <w:left w:val="nil"/>
              <w:bottom w:val="single" w:sz="4"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0,35</w:t>
            </w:r>
          </w:p>
        </w:tc>
      </w:tr>
      <w:tr w:rsidR="00E005F6" w:rsidRPr="00E005F6" w:rsidTr="002B0D16">
        <w:trPr>
          <w:trHeight w:val="315"/>
        </w:trPr>
        <w:tc>
          <w:tcPr>
            <w:tcW w:w="1140" w:type="dxa"/>
            <w:tcBorders>
              <w:top w:val="nil"/>
              <w:left w:val="single" w:sz="4" w:space="0" w:color="auto"/>
              <w:bottom w:val="single" w:sz="4" w:space="0" w:color="auto"/>
              <w:right w:val="nil"/>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b/>
                <w:bCs/>
                <w:color w:val="000000"/>
                <w:lang w:val="pt-PT"/>
              </w:rPr>
            </w:pPr>
            <w:proofErr w:type="spellStart"/>
            <w:r w:rsidRPr="00E005F6">
              <w:rPr>
                <w:rFonts w:ascii="Arial" w:eastAsia="Times New Roman" w:hAnsi="Arial" w:cs="Arial"/>
                <w:b/>
                <w:bCs/>
                <w:color w:val="000000"/>
                <w:lang w:val="pt-PT"/>
              </w:rPr>
              <w:t>Group</w:t>
            </w:r>
            <w:proofErr w:type="spellEnd"/>
            <w:r w:rsidRPr="00E005F6">
              <w:rPr>
                <w:rFonts w:ascii="Arial" w:eastAsia="Times New Roman" w:hAnsi="Arial" w:cs="Arial"/>
                <w:b/>
                <w:bCs/>
                <w:color w:val="000000"/>
                <w:lang w:val="pt-PT"/>
              </w:rPr>
              <w:t xml:space="preserve"> 30</w:t>
            </w:r>
          </w:p>
        </w:tc>
        <w:tc>
          <w:tcPr>
            <w:tcW w:w="1315" w:type="dxa"/>
            <w:tcBorders>
              <w:top w:val="nil"/>
              <w:left w:val="single" w:sz="8" w:space="0" w:color="auto"/>
              <w:bottom w:val="single" w:sz="8"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0,37</w:t>
            </w:r>
          </w:p>
        </w:tc>
        <w:tc>
          <w:tcPr>
            <w:tcW w:w="1315" w:type="dxa"/>
            <w:tcBorders>
              <w:top w:val="nil"/>
              <w:left w:val="nil"/>
              <w:bottom w:val="single" w:sz="8"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0,81</w:t>
            </w:r>
          </w:p>
        </w:tc>
        <w:tc>
          <w:tcPr>
            <w:tcW w:w="1315" w:type="dxa"/>
            <w:tcBorders>
              <w:top w:val="nil"/>
              <w:left w:val="nil"/>
              <w:bottom w:val="single" w:sz="8"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0,71</w:t>
            </w:r>
          </w:p>
        </w:tc>
        <w:tc>
          <w:tcPr>
            <w:tcW w:w="1315" w:type="dxa"/>
            <w:tcBorders>
              <w:top w:val="nil"/>
              <w:left w:val="nil"/>
              <w:bottom w:val="single" w:sz="8"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1,23</w:t>
            </w:r>
          </w:p>
        </w:tc>
        <w:tc>
          <w:tcPr>
            <w:tcW w:w="1315" w:type="dxa"/>
            <w:tcBorders>
              <w:top w:val="nil"/>
              <w:left w:val="nil"/>
              <w:bottom w:val="single" w:sz="8" w:space="0" w:color="auto"/>
              <w:right w:val="single" w:sz="4"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1,04</w:t>
            </w:r>
          </w:p>
        </w:tc>
        <w:tc>
          <w:tcPr>
            <w:tcW w:w="1315" w:type="dxa"/>
            <w:tcBorders>
              <w:top w:val="nil"/>
              <w:left w:val="nil"/>
              <w:bottom w:val="single" w:sz="8" w:space="0" w:color="auto"/>
              <w:right w:val="single" w:sz="8" w:space="0" w:color="auto"/>
            </w:tcBorders>
            <w:shd w:val="clear" w:color="auto" w:fill="auto"/>
            <w:noWrap/>
            <w:vAlign w:val="center"/>
            <w:hideMark/>
          </w:tcPr>
          <w:p w:rsidR="00E005F6" w:rsidRPr="00E005F6" w:rsidRDefault="00E005F6" w:rsidP="004455CB">
            <w:pPr>
              <w:spacing w:after="0" w:line="240" w:lineRule="auto"/>
              <w:jc w:val="center"/>
              <w:rPr>
                <w:rFonts w:ascii="Arial" w:eastAsia="Times New Roman" w:hAnsi="Arial" w:cs="Arial"/>
                <w:color w:val="000000"/>
                <w:lang w:val="pt-PT"/>
              </w:rPr>
            </w:pPr>
            <w:r w:rsidRPr="00E005F6">
              <w:rPr>
                <w:rFonts w:ascii="Arial" w:eastAsia="Times New Roman" w:hAnsi="Arial" w:cs="Arial"/>
                <w:color w:val="000000"/>
                <w:lang w:val="pt-PT"/>
              </w:rPr>
              <w:t>1,03</w:t>
            </w:r>
          </w:p>
        </w:tc>
      </w:tr>
    </w:tbl>
    <w:p w:rsidR="002B0D16" w:rsidRPr="00CE2D82" w:rsidRDefault="00267DF6" w:rsidP="004455CB">
      <w:pPr>
        <w:spacing w:after="0" w:line="240" w:lineRule="auto"/>
        <w:ind w:firstLine="567"/>
        <w:jc w:val="center"/>
        <w:rPr>
          <w:rFonts w:ascii="Arial" w:hAnsi="Arial" w:cs="Arial"/>
          <w:b/>
          <w:sz w:val="18"/>
          <w:szCs w:val="18"/>
        </w:rPr>
      </w:pPr>
      <w:r w:rsidRPr="00CE2D82">
        <w:rPr>
          <w:rFonts w:ascii="Arial" w:hAnsi="Arial" w:cs="Arial"/>
          <w:sz w:val="18"/>
          <w:szCs w:val="18"/>
        </w:rPr>
        <w:t>Source: Own calculations from INTRACEN Database</w:t>
      </w:r>
    </w:p>
    <w:p w:rsidR="00E005F6" w:rsidRDefault="00E005F6" w:rsidP="004455CB">
      <w:pPr>
        <w:spacing w:after="0" w:line="240" w:lineRule="auto"/>
        <w:ind w:firstLine="567"/>
        <w:jc w:val="both"/>
        <w:rPr>
          <w:rFonts w:ascii="Arial" w:hAnsi="Arial" w:cs="Arial"/>
        </w:rPr>
      </w:pPr>
    </w:p>
    <w:p w:rsidR="0056574E" w:rsidRPr="00763118" w:rsidRDefault="00975C20" w:rsidP="004455CB">
      <w:pPr>
        <w:spacing w:after="0" w:line="240" w:lineRule="auto"/>
        <w:ind w:firstLine="567"/>
        <w:jc w:val="both"/>
        <w:rPr>
          <w:rFonts w:ascii="Arial" w:hAnsi="Arial" w:cs="Arial"/>
        </w:rPr>
      </w:pPr>
      <w:r w:rsidRPr="00763118">
        <w:rPr>
          <w:rFonts w:ascii="Arial" w:hAnsi="Arial" w:cs="Arial"/>
        </w:rPr>
        <w:t>In all the 30 groups</w:t>
      </w:r>
      <w:r w:rsidR="004279F4" w:rsidRPr="00763118">
        <w:rPr>
          <w:rFonts w:ascii="Arial" w:hAnsi="Arial" w:cs="Arial"/>
        </w:rPr>
        <w:t>,</w:t>
      </w:r>
      <w:r w:rsidRPr="00763118">
        <w:rPr>
          <w:rFonts w:ascii="Arial" w:hAnsi="Arial" w:cs="Arial"/>
        </w:rPr>
        <w:t xml:space="preserve"> both countries did not had similar comparative advantages in </w:t>
      </w:r>
      <w:r w:rsidR="00E85337" w:rsidRPr="00763118">
        <w:rPr>
          <w:rFonts w:ascii="Arial" w:hAnsi="Arial" w:cs="Arial"/>
        </w:rPr>
        <w:t xml:space="preserve">only </w:t>
      </w:r>
      <w:r w:rsidRPr="00763118">
        <w:rPr>
          <w:rFonts w:ascii="Arial" w:hAnsi="Arial" w:cs="Arial"/>
        </w:rPr>
        <w:t>8 groups in the period of 2001-2003 (groups 6, 15, 18, 19, 21, 24, 25 and 30); 8 groups in the period of 2004-2008 (Groups 1, 6, 7, 12, 18, 21, 27, 30); and 7 groups in the period of 2009-</w:t>
      </w:r>
      <w:r w:rsidRPr="00763118">
        <w:rPr>
          <w:rFonts w:ascii="Arial" w:hAnsi="Arial" w:cs="Arial"/>
        </w:rPr>
        <w:lastRenderedPageBreak/>
        <w:t xml:space="preserve">2013 (Group 7, </w:t>
      </w:r>
      <w:r w:rsidR="00CD6FF5" w:rsidRPr="00763118">
        <w:rPr>
          <w:rFonts w:ascii="Arial" w:hAnsi="Arial" w:cs="Arial"/>
        </w:rPr>
        <w:t xml:space="preserve">18, 20, 21, 27, 30). </w:t>
      </w:r>
      <w:proofErr w:type="gramStart"/>
      <w:r w:rsidR="00CD6FF5" w:rsidRPr="00763118">
        <w:rPr>
          <w:rFonts w:ascii="Arial" w:hAnsi="Arial" w:cs="Arial"/>
        </w:rPr>
        <w:t>Taking in</w:t>
      </w:r>
      <w:r w:rsidRPr="00763118">
        <w:rPr>
          <w:rFonts w:ascii="Arial" w:hAnsi="Arial" w:cs="Arial"/>
        </w:rPr>
        <w:t xml:space="preserve"> account that some </w:t>
      </w:r>
      <w:r w:rsidR="00CD6FF5" w:rsidRPr="00763118">
        <w:rPr>
          <w:rFonts w:ascii="Arial" w:hAnsi="Arial" w:cs="Arial"/>
        </w:rPr>
        <w:t>differences</w:t>
      </w:r>
      <w:r w:rsidRPr="00763118">
        <w:rPr>
          <w:rFonts w:ascii="Arial" w:hAnsi="Arial" w:cs="Arial"/>
        </w:rPr>
        <w:t xml:space="preserve"> are the result of a </w:t>
      </w:r>
      <w:r w:rsidR="00CD6FF5" w:rsidRPr="00763118">
        <w:rPr>
          <w:rFonts w:ascii="Arial" w:hAnsi="Arial" w:cs="Arial"/>
        </w:rPr>
        <w:t xml:space="preserve">transition to a greater specialization in those groups of products, such as group 1 and 12 in the period of 2004-2008, the results </w:t>
      </w:r>
      <w:r w:rsidR="00E85337" w:rsidRPr="00763118">
        <w:rPr>
          <w:rFonts w:ascii="Arial" w:hAnsi="Arial" w:cs="Arial"/>
        </w:rPr>
        <w:t>point to a</w:t>
      </w:r>
      <w:r w:rsidR="00CD6FF5" w:rsidRPr="00763118">
        <w:rPr>
          <w:rFonts w:ascii="Arial" w:hAnsi="Arial" w:cs="Arial"/>
        </w:rPr>
        <w:t xml:space="preserve"> similar specialization pattern in the products exported </w:t>
      </w:r>
      <w:r w:rsidR="00E85337" w:rsidRPr="00763118">
        <w:rPr>
          <w:rFonts w:ascii="Arial" w:hAnsi="Arial" w:cs="Arial"/>
        </w:rPr>
        <w:t xml:space="preserve">by these two countries </w:t>
      </w:r>
      <w:r w:rsidR="00CD6FF5" w:rsidRPr="00763118">
        <w:rPr>
          <w:rFonts w:ascii="Arial" w:hAnsi="Arial" w:cs="Arial"/>
        </w:rPr>
        <w:t>to the European Union.</w:t>
      </w:r>
      <w:proofErr w:type="gramEnd"/>
    </w:p>
    <w:p w:rsidR="005B3A98" w:rsidRPr="00763118" w:rsidRDefault="00E85337" w:rsidP="004455CB">
      <w:pPr>
        <w:spacing w:after="0" w:line="240" w:lineRule="auto"/>
        <w:ind w:firstLine="567"/>
        <w:jc w:val="both"/>
        <w:rPr>
          <w:rFonts w:ascii="Arial" w:hAnsi="Arial" w:cs="Arial"/>
        </w:rPr>
      </w:pPr>
      <w:r w:rsidRPr="00763118">
        <w:rPr>
          <w:rFonts w:ascii="Arial" w:hAnsi="Arial" w:cs="Arial"/>
        </w:rPr>
        <w:t>In spite of this similarity, th</w:t>
      </w:r>
      <w:r w:rsidR="004279F4" w:rsidRPr="00763118">
        <w:rPr>
          <w:rFonts w:ascii="Arial" w:hAnsi="Arial" w:cs="Arial"/>
        </w:rPr>
        <w:t>e overall export performance of</w:t>
      </w:r>
      <w:r w:rsidRPr="00763118">
        <w:rPr>
          <w:rFonts w:ascii="Arial" w:hAnsi="Arial" w:cs="Arial"/>
        </w:rPr>
        <w:t xml:space="preserve"> Poland </w:t>
      </w:r>
      <w:r w:rsidR="0008217A" w:rsidRPr="00763118">
        <w:rPr>
          <w:rFonts w:ascii="Arial" w:hAnsi="Arial" w:cs="Arial"/>
        </w:rPr>
        <w:t>to the EU15</w:t>
      </w:r>
      <w:r w:rsidR="00DE25B0" w:rsidRPr="00763118">
        <w:rPr>
          <w:rFonts w:ascii="Arial" w:hAnsi="Arial" w:cs="Arial"/>
        </w:rPr>
        <w:t xml:space="preserve"> was clearly superior to the one of Portugal</w:t>
      </w:r>
      <w:r w:rsidRPr="00763118">
        <w:rPr>
          <w:rFonts w:ascii="Arial" w:hAnsi="Arial" w:cs="Arial"/>
        </w:rPr>
        <w:t xml:space="preserve"> in </w:t>
      </w:r>
      <w:r w:rsidR="00634682" w:rsidRPr="00763118">
        <w:rPr>
          <w:rFonts w:ascii="Arial" w:hAnsi="Arial" w:cs="Arial"/>
        </w:rPr>
        <w:t xml:space="preserve">period analyzed, as mentioned in the </w:t>
      </w:r>
      <w:r w:rsidR="004279F4" w:rsidRPr="00763118">
        <w:rPr>
          <w:rFonts w:ascii="Arial" w:hAnsi="Arial" w:cs="Arial"/>
        </w:rPr>
        <w:t>i</w:t>
      </w:r>
      <w:r w:rsidR="00571C50" w:rsidRPr="00763118">
        <w:rPr>
          <w:rFonts w:ascii="Arial" w:hAnsi="Arial" w:cs="Arial"/>
        </w:rPr>
        <w:t>ntroduction. An</w:t>
      </w:r>
      <w:r w:rsidR="002F7CB9" w:rsidRPr="00763118">
        <w:rPr>
          <w:rFonts w:ascii="Arial" w:hAnsi="Arial" w:cs="Arial"/>
        </w:rPr>
        <w:t xml:space="preserve"> explanation </w:t>
      </w:r>
      <w:r w:rsidR="00634682" w:rsidRPr="00763118">
        <w:rPr>
          <w:rFonts w:ascii="Arial" w:hAnsi="Arial" w:cs="Arial"/>
        </w:rPr>
        <w:t xml:space="preserve">for </w:t>
      </w:r>
      <w:r w:rsidR="002F7CB9" w:rsidRPr="00763118">
        <w:rPr>
          <w:rFonts w:ascii="Arial" w:hAnsi="Arial" w:cs="Arial"/>
        </w:rPr>
        <w:t>the</w:t>
      </w:r>
      <w:r w:rsidR="00634682" w:rsidRPr="00763118">
        <w:rPr>
          <w:rFonts w:ascii="Arial" w:hAnsi="Arial" w:cs="Arial"/>
        </w:rPr>
        <w:t xml:space="preserve"> </w:t>
      </w:r>
      <w:r w:rsidR="0008217A" w:rsidRPr="00763118">
        <w:rPr>
          <w:rFonts w:ascii="Arial" w:hAnsi="Arial" w:cs="Arial"/>
        </w:rPr>
        <w:t xml:space="preserve">different </w:t>
      </w:r>
      <w:r w:rsidR="00634682" w:rsidRPr="00763118">
        <w:rPr>
          <w:rFonts w:ascii="Arial" w:hAnsi="Arial" w:cs="Arial"/>
        </w:rPr>
        <w:t>trend</w:t>
      </w:r>
      <w:r w:rsidR="0008217A" w:rsidRPr="00763118">
        <w:rPr>
          <w:rFonts w:ascii="Arial" w:hAnsi="Arial" w:cs="Arial"/>
        </w:rPr>
        <w:t>s</w:t>
      </w:r>
      <w:r w:rsidR="00571C50" w:rsidRPr="00763118">
        <w:rPr>
          <w:rFonts w:ascii="Arial" w:hAnsi="Arial" w:cs="Arial"/>
        </w:rPr>
        <w:t xml:space="preserve"> can be found in the economic policies adopted</w:t>
      </w:r>
      <w:r w:rsidR="002F7CB9" w:rsidRPr="00763118">
        <w:rPr>
          <w:rFonts w:ascii="Arial" w:hAnsi="Arial" w:cs="Arial"/>
        </w:rPr>
        <w:t>.</w:t>
      </w:r>
    </w:p>
    <w:p w:rsidR="005B3A98" w:rsidRPr="00763118" w:rsidRDefault="005B3A98" w:rsidP="004455CB">
      <w:pPr>
        <w:spacing w:after="0" w:line="240" w:lineRule="auto"/>
        <w:ind w:firstLine="567"/>
        <w:jc w:val="both"/>
        <w:rPr>
          <w:rStyle w:val="hps"/>
          <w:rFonts w:ascii="Arial" w:hAnsi="Arial" w:cs="Arial"/>
        </w:rPr>
      </w:pPr>
      <w:r w:rsidRPr="00763118">
        <w:rPr>
          <w:rFonts w:ascii="Arial" w:hAnsi="Arial" w:cs="Arial"/>
        </w:rPr>
        <w:t xml:space="preserve">In the case of Portugal, </w:t>
      </w:r>
      <w:r w:rsidR="00E005F6">
        <w:rPr>
          <w:rFonts w:ascii="Arial" w:hAnsi="Arial" w:cs="Arial"/>
        </w:rPr>
        <w:t>export performance was impaired</w:t>
      </w:r>
      <w:r w:rsidRPr="00763118">
        <w:rPr>
          <w:rFonts w:ascii="Arial" w:hAnsi="Arial" w:cs="Arial"/>
        </w:rPr>
        <w:t xml:space="preserve"> by the increased competition of emerging countries</w:t>
      </w:r>
      <w:r w:rsidR="002B0D16">
        <w:rPr>
          <w:rFonts w:ascii="Arial" w:hAnsi="Arial" w:cs="Arial"/>
        </w:rPr>
        <w:t xml:space="preserve"> including</w:t>
      </w:r>
      <w:r w:rsidRPr="00763118">
        <w:rPr>
          <w:rFonts w:ascii="Arial" w:hAnsi="Arial" w:cs="Arial"/>
        </w:rPr>
        <w:t xml:space="preserve"> the EU’s expansion to Eastern Europe but </w:t>
      </w:r>
      <w:r w:rsidR="00571C50" w:rsidRPr="00763118">
        <w:rPr>
          <w:rFonts w:ascii="Arial" w:hAnsi="Arial" w:cs="Arial"/>
        </w:rPr>
        <w:t xml:space="preserve">it is </w:t>
      </w:r>
      <w:r w:rsidRPr="00763118">
        <w:rPr>
          <w:rFonts w:ascii="Arial" w:hAnsi="Arial" w:cs="Arial"/>
        </w:rPr>
        <w:t>also related to the loss of competitiveness associated to the adoption of a strong currency in 1999 (the euro) and the subsequent rise in unit labor costs. Participation in the Economic Monetary Union and the end of the competitive devaluations caused a notable appreciation of the effective exchange rate (of more t</w:t>
      </w:r>
      <w:r w:rsidR="002B0D16">
        <w:rPr>
          <w:rFonts w:ascii="Arial" w:hAnsi="Arial" w:cs="Arial"/>
        </w:rPr>
        <w:t>han 20 % between 1988 and 2006)</w:t>
      </w:r>
      <w:r w:rsidRPr="00763118">
        <w:rPr>
          <w:rStyle w:val="Refdenotaderodap"/>
          <w:rFonts w:ascii="Arial" w:hAnsi="Arial" w:cs="Arial"/>
        </w:rPr>
        <w:footnoteReference w:id="1"/>
      </w:r>
      <w:r w:rsidR="002B0D16">
        <w:rPr>
          <w:rFonts w:ascii="Arial" w:hAnsi="Arial" w:cs="Arial"/>
        </w:rPr>
        <w:t>.</w:t>
      </w:r>
      <w:r w:rsidRPr="00763118">
        <w:rPr>
          <w:rFonts w:ascii="Arial" w:hAnsi="Arial" w:cs="Arial"/>
        </w:rPr>
        <w:t xml:space="preserve"> </w:t>
      </w:r>
      <w:r w:rsidRPr="00763118">
        <w:rPr>
          <w:rStyle w:val="hps"/>
          <w:rFonts w:ascii="Arial" w:hAnsi="Arial" w:cs="Arial"/>
        </w:rPr>
        <w:t>Joining the</w:t>
      </w:r>
      <w:r w:rsidRPr="00763118">
        <w:rPr>
          <w:rFonts w:ascii="Arial" w:hAnsi="Arial" w:cs="Arial"/>
        </w:rPr>
        <w:t xml:space="preserve"> </w:t>
      </w:r>
      <w:r w:rsidRPr="00763118">
        <w:rPr>
          <w:rStyle w:val="hps"/>
          <w:rFonts w:ascii="Arial" w:hAnsi="Arial" w:cs="Arial"/>
        </w:rPr>
        <w:t>euro</w:t>
      </w:r>
      <w:r w:rsidRPr="00763118">
        <w:rPr>
          <w:rFonts w:ascii="Arial" w:hAnsi="Arial" w:cs="Arial"/>
        </w:rPr>
        <w:t xml:space="preserve"> also </w:t>
      </w:r>
      <w:r w:rsidRPr="00763118">
        <w:rPr>
          <w:rStyle w:val="hps"/>
          <w:rFonts w:ascii="Arial" w:hAnsi="Arial" w:cs="Arial"/>
        </w:rPr>
        <w:t>produced an</w:t>
      </w:r>
      <w:r w:rsidRPr="00763118">
        <w:rPr>
          <w:rFonts w:ascii="Arial" w:hAnsi="Arial" w:cs="Arial"/>
        </w:rPr>
        <w:t xml:space="preserve"> </w:t>
      </w:r>
      <w:r w:rsidRPr="00763118">
        <w:rPr>
          <w:rStyle w:val="hps"/>
          <w:rFonts w:ascii="Arial" w:hAnsi="Arial" w:cs="Arial"/>
        </w:rPr>
        <w:t>expansionary</w:t>
      </w:r>
      <w:r w:rsidRPr="00763118">
        <w:rPr>
          <w:rFonts w:ascii="Arial" w:hAnsi="Arial" w:cs="Arial"/>
        </w:rPr>
        <w:t xml:space="preserve"> </w:t>
      </w:r>
      <w:r w:rsidRPr="00763118">
        <w:rPr>
          <w:rStyle w:val="hps"/>
          <w:rFonts w:ascii="Arial" w:hAnsi="Arial" w:cs="Arial"/>
        </w:rPr>
        <w:t>monetary shock</w:t>
      </w:r>
      <w:r w:rsidRPr="00763118">
        <w:rPr>
          <w:rFonts w:ascii="Arial" w:hAnsi="Arial" w:cs="Arial"/>
        </w:rPr>
        <w:t xml:space="preserve"> </w:t>
      </w:r>
      <w:r w:rsidRPr="00763118">
        <w:rPr>
          <w:rStyle w:val="hps"/>
          <w:rFonts w:ascii="Arial" w:hAnsi="Arial" w:cs="Arial"/>
        </w:rPr>
        <w:t>which greatly stimulated</w:t>
      </w:r>
      <w:r w:rsidRPr="00763118">
        <w:rPr>
          <w:rFonts w:ascii="Arial" w:hAnsi="Arial" w:cs="Arial"/>
        </w:rPr>
        <w:t xml:space="preserve"> </w:t>
      </w:r>
      <w:r w:rsidRPr="00763118">
        <w:rPr>
          <w:rStyle w:val="hps"/>
          <w:rFonts w:ascii="Arial" w:hAnsi="Arial" w:cs="Arial"/>
        </w:rPr>
        <w:t>domestic demand</w:t>
      </w:r>
      <w:r w:rsidRPr="00763118">
        <w:rPr>
          <w:rFonts w:ascii="Arial" w:hAnsi="Arial" w:cs="Arial"/>
        </w:rPr>
        <w:t xml:space="preserve"> </w:t>
      </w:r>
      <w:r w:rsidRPr="00763118">
        <w:rPr>
          <w:rStyle w:val="hps"/>
          <w:rFonts w:ascii="Arial" w:hAnsi="Arial" w:cs="Arial"/>
        </w:rPr>
        <w:t>and created</w:t>
      </w:r>
      <w:r w:rsidRPr="00763118">
        <w:rPr>
          <w:rFonts w:ascii="Arial" w:hAnsi="Arial" w:cs="Arial"/>
        </w:rPr>
        <w:t xml:space="preserve"> </w:t>
      </w:r>
      <w:r w:rsidRPr="00763118">
        <w:rPr>
          <w:rStyle w:val="hps"/>
          <w:rFonts w:ascii="Arial" w:hAnsi="Arial" w:cs="Arial"/>
        </w:rPr>
        <w:t>an excess of</w:t>
      </w:r>
      <w:r w:rsidRPr="00763118">
        <w:rPr>
          <w:rFonts w:ascii="Arial" w:hAnsi="Arial" w:cs="Arial"/>
        </w:rPr>
        <w:t xml:space="preserve"> </w:t>
      </w:r>
      <w:r w:rsidRPr="00763118">
        <w:rPr>
          <w:rStyle w:val="hps"/>
          <w:rFonts w:ascii="Arial" w:hAnsi="Arial" w:cs="Arial"/>
        </w:rPr>
        <w:t>expenditure</w:t>
      </w:r>
      <w:r w:rsidRPr="00763118">
        <w:rPr>
          <w:rFonts w:ascii="Arial" w:hAnsi="Arial" w:cs="Arial"/>
        </w:rPr>
        <w:t xml:space="preserve"> </w:t>
      </w:r>
      <w:r w:rsidRPr="00763118">
        <w:rPr>
          <w:rStyle w:val="hps"/>
          <w:rFonts w:ascii="Arial" w:hAnsi="Arial" w:cs="Arial"/>
        </w:rPr>
        <w:t>on</w:t>
      </w:r>
      <w:r w:rsidRPr="00763118">
        <w:rPr>
          <w:rFonts w:ascii="Arial" w:hAnsi="Arial" w:cs="Arial"/>
        </w:rPr>
        <w:t xml:space="preserve"> </w:t>
      </w:r>
      <w:r w:rsidRPr="00763118">
        <w:rPr>
          <w:rStyle w:val="hps"/>
          <w:rFonts w:ascii="Arial" w:hAnsi="Arial" w:cs="Arial"/>
        </w:rPr>
        <w:t>domestic production capacity</w:t>
      </w:r>
      <w:r w:rsidR="004279F4" w:rsidRPr="00763118">
        <w:rPr>
          <w:rStyle w:val="hps"/>
          <w:rFonts w:ascii="Arial" w:hAnsi="Arial" w:cs="Arial"/>
        </w:rPr>
        <w:t xml:space="preserve"> (Blanchard, 2006)</w:t>
      </w:r>
      <w:r w:rsidRPr="00763118">
        <w:rPr>
          <w:rFonts w:ascii="Arial" w:hAnsi="Arial" w:cs="Arial"/>
        </w:rPr>
        <w:t xml:space="preserve">. While the </w:t>
      </w:r>
      <w:r w:rsidR="004279F4" w:rsidRPr="00763118">
        <w:rPr>
          <w:rStyle w:val="hps"/>
          <w:rFonts w:ascii="Arial" w:hAnsi="Arial" w:cs="Arial"/>
        </w:rPr>
        <w:t>channeling</w:t>
      </w:r>
      <w:r w:rsidRPr="00763118">
        <w:rPr>
          <w:rFonts w:ascii="Arial" w:hAnsi="Arial" w:cs="Arial"/>
        </w:rPr>
        <w:t xml:space="preserve"> </w:t>
      </w:r>
      <w:r w:rsidRPr="00763118">
        <w:rPr>
          <w:rStyle w:val="hps"/>
          <w:rFonts w:ascii="Arial" w:hAnsi="Arial" w:cs="Arial"/>
        </w:rPr>
        <w:t>of excess</w:t>
      </w:r>
      <w:r w:rsidRPr="00763118">
        <w:rPr>
          <w:rFonts w:ascii="Arial" w:hAnsi="Arial" w:cs="Arial"/>
        </w:rPr>
        <w:t xml:space="preserve"> </w:t>
      </w:r>
      <w:r w:rsidRPr="00763118">
        <w:rPr>
          <w:rStyle w:val="hps"/>
          <w:rFonts w:ascii="Arial" w:hAnsi="Arial" w:cs="Arial"/>
        </w:rPr>
        <w:t>demand</w:t>
      </w:r>
      <w:r w:rsidRPr="00763118">
        <w:rPr>
          <w:rFonts w:ascii="Arial" w:hAnsi="Arial" w:cs="Arial"/>
        </w:rPr>
        <w:t xml:space="preserve"> </w:t>
      </w:r>
      <w:r w:rsidRPr="00763118">
        <w:rPr>
          <w:rStyle w:val="hps"/>
          <w:rFonts w:ascii="Arial" w:hAnsi="Arial" w:cs="Arial"/>
        </w:rPr>
        <w:t>for imports</w:t>
      </w:r>
      <w:r w:rsidRPr="00763118">
        <w:rPr>
          <w:rFonts w:ascii="Arial" w:hAnsi="Arial" w:cs="Arial"/>
        </w:rPr>
        <w:t xml:space="preserve"> </w:t>
      </w:r>
      <w:r w:rsidRPr="00763118">
        <w:rPr>
          <w:rStyle w:val="hps"/>
          <w:rFonts w:ascii="Arial" w:hAnsi="Arial" w:cs="Arial"/>
        </w:rPr>
        <w:t>worsened</w:t>
      </w:r>
      <w:r w:rsidRPr="00763118">
        <w:rPr>
          <w:rFonts w:ascii="Arial" w:hAnsi="Arial" w:cs="Arial"/>
        </w:rPr>
        <w:t xml:space="preserve"> </w:t>
      </w:r>
      <w:r w:rsidRPr="00763118">
        <w:rPr>
          <w:rStyle w:val="hps"/>
          <w:rFonts w:ascii="Arial" w:hAnsi="Arial" w:cs="Arial"/>
        </w:rPr>
        <w:t>the external</w:t>
      </w:r>
      <w:r w:rsidRPr="00763118">
        <w:rPr>
          <w:rFonts w:ascii="Arial" w:hAnsi="Arial" w:cs="Arial"/>
        </w:rPr>
        <w:t xml:space="preserve"> </w:t>
      </w:r>
      <w:r w:rsidRPr="00763118">
        <w:rPr>
          <w:rStyle w:val="hps"/>
          <w:rFonts w:ascii="Arial" w:hAnsi="Arial" w:cs="Arial"/>
        </w:rPr>
        <w:t>current</w:t>
      </w:r>
      <w:r w:rsidRPr="00763118">
        <w:rPr>
          <w:rFonts w:ascii="Arial" w:hAnsi="Arial" w:cs="Arial"/>
        </w:rPr>
        <w:t xml:space="preserve"> </w:t>
      </w:r>
      <w:r w:rsidRPr="00763118">
        <w:rPr>
          <w:rStyle w:val="hps"/>
          <w:rFonts w:ascii="Arial" w:hAnsi="Arial" w:cs="Arial"/>
        </w:rPr>
        <w:t>of the</w:t>
      </w:r>
      <w:r w:rsidRPr="00763118">
        <w:rPr>
          <w:rFonts w:ascii="Arial" w:hAnsi="Arial" w:cs="Arial"/>
        </w:rPr>
        <w:t xml:space="preserve"> </w:t>
      </w:r>
      <w:r w:rsidRPr="00763118">
        <w:rPr>
          <w:rStyle w:val="hps"/>
          <w:rFonts w:ascii="Arial" w:hAnsi="Arial" w:cs="Arial"/>
        </w:rPr>
        <w:t>country, another</w:t>
      </w:r>
      <w:r w:rsidRPr="00763118">
        <w:rPr>
          <w:rFonts w:ascii="Arial" w:hAnsi="Arial" w:cs="Arial"/>
        </w:rPr>
        <w:t xml:space="preserve"> </w:t>
      </w:r>
      <w:r w:rsidRPr="00763118">
        <w:rPr>
          <w:rStyle w:val="hps"/>
          <w:rFonts w:ascii="Arial" w:hAnsi="Arial" w:cs="Arial"/>
        </w:rPr>
        <w:t>part of the demand</w:t>
      </w:r>
      <w:r w:rsidRPr="00763118">
        <w:rPr>
          <w:rFonts w:ascii="Arial" w:hAnsi="Arial" w:cs="Arial"/>
        </w:rPr>
        <w:t xml:space="preserve"> </w:t>
      </w:r>
      <w:r w:rsidRPr="00763118">
        <w:rPr>
          <w:rStyle w:val="hps"/>
          <w:rFonts w:ascii="Arial" w:hAnsi="Arial" w:cs="Arial"/>
        </w:rPr>
        <w:t>was</w:t>
      </w:r>
      <w:r w:rsidRPr="00763118">
        <w:rPr>
          <w:rFonts w:ascii="Arial" w:hAnsi="Arial" w:cs="Arial"/>
        </w:rPr>
        <w:t xml:space="preserve"> </w:t>
      </w:r>
      <w:r w:rsidRPr="00763118">
        <w:rPr>
          <w:rStyle w:val="hps"/>
          <w:rFonts w:ascii="Arial" w:hAnsi="Arial" w:cs="Arial"/>
        </w:rPr>
        <w:t>addressed to the</w:t>
      </w:r>
      <w:r w:rsidRPr="00763118">
        <w:rPr>
          <w:rFonts w:ascii="Arial" w:hAnsi="Arial" w:cs="Arial"/>
        </w:rPr>
        <w:t xml:space="preserve"> </w:t>
      </w:r>
      <w:r w:rsidRPr="00763118">
        <w:rPr>
          <w:rStyle w:val="hps"/>
          <w:rFonts w:ascii="Arial" w:hAnsi="Arial" w:cs="Arial"/>
        </w:rPr>
        <w:t>non-tradable</w:t>
      </w:r>
      <w:r w:rsidRPr="00763118">
        <w:rPr>
          <w:rFonts w:ascii="Arial" w:hAnsi="Arial" w:cs="Arial"/>
        </w:rPr>
        <w:t xml:space="preserve"> </w:t>
      </w:r>
      <w:r w:rsidRPr="00763118">
        <w:rPr>
          <w:rStyle w:val="hps"/>
          <w:rFonts w:ascii="Arial" w:hAnsi="Arial" w:cs="Arial"/>
        </w:rPr>
        <w:t>goods sector</w:t>
      </w:r>
      <w:r w:rsidRPr="00763118">
        <w:rPr>
          <w:rFonts w:ascii="Arial" w:hAnsi="Arial" w:cs="Arial"/>
        </w:rPr>
        <w:t xml:space="preserve">, </w:t>
      </w:r>
      <w:r w:rsidRPr="00763118">
        <w:rPr>
          <w:rStyle w:val="hps"/>
          <w:rFonts w:ascii="Arial" w:hAnsi="Arial" w:cs="Arial"/>
        </w:rPr>
        <w:t>raising real wages</w:t>
      </w:r>
      <w:r w:rsidRPr="00763118">
        <w:rPr>
          <w:rFonts w:ascii="Arial" w:hAnsi="Arial" w:cs="Arial"/>
        </w:rPr>
        <w:t xml:space="preserve"> </w:t>
      </w:r>
      <w:r w:rsidRPr="00763118">
        <w:rPr>
          <w:rStyle w:val="hps"/>
          <w:rFonts w:ascii="Arial" w:hAnsi="Arial" w:cs="Arial"/>
        </w:rPr>
        <w:t>above</w:t>
      </w:r>
      <w:r w:rsidRPr="00763118">
        <w:rPr>
          <w:rFonts w:ascii="Arial" w:hAnsi="Arial" w:cs="Arial"/>
        </w:rPr>
        <w:t xml:space="preserve"> </w:t>
      </w:r>
      <w:r w:rsidRPr="00763118">
        <w:rPr>
          <w:rStyle w:val="hps"/>
          <w:rFonts w:ascii="Arial" w:hAnsi="Arial" w:cs="Arial"/>
        </w:rPr>
        <w:t>productivity growth</w:t>
      </w:r>
      <w:r w:rsidRPr="00763118">
        <w:rPr>
          <w:rFonts w:ascii="Arial" w:hAnsi="Arial" w:cs="Arial"/>
        </w:rPr>
        <w:t xml:space="preserve">, reducing the </w:t>
      </w:r>
      <w:r w:rsidRPr="00763118">
        <w:rPr>
          <w:rStyle w:val="hps"/>
          <w:rFonts w:ascii="Arial" w:hAnsi="Arial" w:cs="Arial"/>
        </w:rPr>
        <w:t>competitiveness</w:t>
      </w:r>
      <w:r w:rsidRPr="00763118">
        <w:rPr>
          <w:rFonts w:ascii="Arial" w:hAnsi="Arial" w:cs="Arial"/>
        </w:rPr>
        <w:t xml:space="preserve"> </w:t>
      </w:r>
      <w:r w:rsidRPr="00763118">
        <w:rPr>
          <w:rStyle w:val="hps"/>
          <w:rFonts w:ascii="Arial" w:hAnsi="Arial" w:cs="Arial"/>
        </w:rPr>
        <w:t>of exports</w:t>
      </w:r>
      <w:r w:rsidRPr="00763118">
        <w:rPr>
          <w:rFonts w:ascii="Arial" w:hAnsi="Arial" w:cs="Arial"/>
        </w:rPr>
        <w:t xml:space="preserve"> </w:t>
      </w:r>
      <w:r w:rsidRPr="00763118">
        <w:rPr>
          <w:rStyle w:val="hps"/>
          <w:rFonts w:ascii="Arial" w:hAnsi="Arial" w:cs="Arial"/>
        </w:rPr>
        <w:t>and</w:t>
      </w:r>
      <w:r w:rsidRPr="00763118">
        <w:rPr>
          <w:rFonts w:ascii="Arial" w:hAnsi="Arial" w:cs="Arial"/>
        </w:rPr>
        <w:t xml:space="preserve"> </w:t>
      </w:r>
      <w:r w:rsidRPr="00763118">
        <w:rPr>
          <w:rStyle w:val="hps"/>
          <w:rFonts w:ascii="Arial" w:hAnsi="Arial" w:cs="Arial"/>
        </w:rPr>
        <w:t>further aggravating the</w:t>
      </w:r>
      <w:r w:rsidRPr="00763118">
        <w:rPr>
          <w:rFonts w:ascii="Arial" w:hAnsi="Arial" w:cs="Arial"/>
        </w:rPr>
        <w:t xml:space="preserve"> </w:t>
      </w:r>
      <w:r w:rsidRPr="00763118">
        <w:rPr>
          <w:rStyle w:val="hps"/>
          <w:rFonts w:ascii="Arial" w:hAnsi="Arial" w:cs="Arial"/>
        </w:rPr>
        <w:t>current account</w:t>
      </w:r>
      <w:r w:rsidRPr="00763118">
        <w:rPr>
          <w:rFonts w:ascii="Arial" w:hAnsi="Arial" w:cs="Arial"/>
        </w:rPr>
        <w:t xml:space="preserve">. </w:t>
      </w:r>
      <w:r w:rsidRPr="00763118">
        <w:rPr>
          <w:rStyle w:val="hps"/>
          <w:rFonts w:ascii="Arial" w:hAnsi="Arial" w:cs="Arial"/>
        </w:rPr>
        <w:t>Between 1999</w:t>
      </w:r>
      <w:r w:rsidRPr="00763118">
        <w:rPr>
          <w:rFonts w:ascii="Arial" w:hAnsi="Arial" w:cs="Arial"/>
        </w:rPr>
        <w:t xml:space="preserve"> </w:t>
      </w:r>
      <w:r w:rsidRPr="00763118">
        <w:rPr>
          <w:rStyle w:val="hps"/>
          <w:rFonts w:ascii="Arial" w:hAnsi="Arial" w:cs="Arial"/>
        </w:rPr>
        <w:t>and</w:t>
      </w:r>
      <w:r w:rsidRPr="00763118">
        <w:rPr>
          <w:rFonts w:ascii="Arial" w:hAnsi="Arial" w:cs="Arial"/>
        </w:rPr>
        <w:t xml:space="preserve"> </w:t>
      </w:r>
      <w:r w:rsidRPr="00763118">
        <w:rPr>
          <w:rStyle w:val="hps"/>
          <w:rFonts w:ascii="Arial" w:hAnsi="Arial" w:cs="Arial"/>
        </w:rPr>
        <w:t>2007,</w:t>
      </w:r>
      <w:r w:rsidRPr="00763118">
        <w:rPr>
          <w:rFonts w:ascii="Arial" w:hAnsi="Arial" w:cs="Arial"/>
        </w:rPr>
        <w:t xml:space="preserve"> </w:t>
      </w:r>
      <w:r w:rsidRPr="00763118">
        <w:rPr>
          <w:rStyle w:val="hps"/>
          <w:rFonts w:ascii="Arial" w:hAnsi="Arial" w:cs="Arial"/>
        </w:rPr>
        <w:t>unit labor costs</w:t>
      </w:r>
      <w:r w:rsidRPr="00763118">
        <w:rPr>
          <w:rFonts w:ascii="Arial" w:hAnsi="Arial" w:cs="Arial"/>
        </w:rPr>
        <w:t xml:space="preserve"> </w:t>
      </w:r>
      <w:r w:rsidRPr="00763118">
        <w:rPr>
          <w:rStyle w:val="hps"/>
          <w:rFonts w:ascii="Arial" w:hAnsi="Arial" w:cs="Arial"/>
        </w:rPr>
        <w:t>showed a</w:t>
      </w:r>
      <w:r w:rsidRPr="00763118">
        <w:rPr>
          <w:rFonts w:ascii="Arial" w:hAnsi="Arial" w:cs="Arial"/>
        </w:rPr>
        <w:t xml:space="preserve"> </w:t>
      </w:r>
      <w:r w:rsidRPr="00763118">
        <w:rPr>
          <w:rStyle w:val="hps"/>
          <w:rFonts w:ascii="Arial" w:hAnsi="Arial" w:cs="Arial"/>
        </w:rPr>
        <w:t>positive difference</w:t>
      </w:r>
      <w:r w:rsidRPr="00763118">
        <w:rPr>
          <w:rFonts w:ascii="Arial" w:hAnsi="Arial" w:cs="Arial"/>
        </w:rPr>
        <w:t xml:space="preserve"> </w:t>
      </w:r>
      <w:r w:rsidRPr="00763118">
        <w:rPr>
          <w:rStyle w:val="hps"/>
          <w:rFonts w:ascii="Arial" w:hAnsi="Arial" w:cs="Arial"/>
        </w:rPr>
        <w:t>of 24</w:t>
      </w:r>
      <w:r w:rsidRPr="00763118">
        <w:rPr>
          <w:rFonts w:ascii="Arial" w:hAnsi="Arial" w:cs="Arial"/>
        </w:rPr>
        <w:t xml:space="preserve">% compared </w:t>
      </w:r>
      <w:r w:rsidRPr="00763118">
        <w:rPr>
          <w:rStyle w:val="hps"/>
          <w:rFonts w:ascii="Arial" w:hAnsi="Arial" w:cs="Arial"/>
        </w:rPr>
        <w:t>to Germany</w:t>
      </w:r>
      <w:r w:rsidRPr="00763118">
        <w:rPr>
          <w:rFonts w:ascii="Arial" w:hAnsi="Arial" w:cs="Arial"/>
        </w:rPr>
        <w:t xml:space="preserve"> </w:t>
      </w:r>
      <w:r w:rsidRPr="00763118">
        <w:rPr>
          <w:rStyle w:val="hps"/>
          <w:rFonts w:ascii="Arial" w:hAnsi="Arial" w:cs="Arial"/>
        </w:rPr>
        <w:t>and 12.5</w:t>
      </w:r>
      <w:r w:rsidRPr="00763118">
        <w:rPr>
          <w:rFonts w:ascii="Arial" w:hAnsi="Arial" w:cs="Arial"/>
        </w:rPr>
        <w:t xml:space="preserve">% compared </w:t>
      </w:r>
      <w:r w:rsidRPr="00763118">
        <w:rPr>
          <w:rStyle w:val="hps"/>
          <w:rFonts w:ascii="Arial" w:hAnsi="Arial" w:cs="Arial"/>
        </w:rPr>
        <w:t>to the</w:t>
      </w:r>
      <w:r w:rsidRPr="00763118">
        <w:rPr>
          <w:rFonts w:ascii="Arial" w:hAnsi="Arial" w:cs="Arial"/>
        </w:rPr>
        <w:t xml:space="preserve"> </w:t>
      </w:r>
      <w:r w:rsidRPr="00763118">
        <w:rPr>
          <w:rStyle w:val="hps"/>
          <w:rFonts w:ascii="Arial" w:hAnsi="Arial" w:cs="Arial"/>
        </w:rPr>
        <w:t>euro area average (Bento, 2009</w:t>
      </w:r>
      <w:r w:rsidR="004279F4" w:rsidRPr="00763118">
        <w:rPr>
          <w:rStyle w:val="hps"/>
          <w:rFonts w:ascii="Arial" w:hAnsi="Arial" w:cs="Arial"/>
        </w:rPr>
        <w:t>; Mendonça, 2012</w:t>
      </w:r>
      <w:r w:rsidRPr="00763118">
        <w:rPr>
          <w:rStyle w:val="hps"/>
          <w:rFonts w:ascii="Arial" w:hAnsi="Arial" w:cs="Arial"/>
        </w:rPr>
        <w:t>).</w:t>
      </w:r>
    </w:p>
    <w:p w:rsidR="005B3A98" w:rsidRPr="00763118" w:rsidRDefault="005B3A98" w:rsidP="004455CB">
      <w:pPr>
        <w:spacing w:after="0" w:line="240" w:lineRule="auto"/>
        <w:ind w:firstLine="567"/>
        <w:jc w:val="both"/>
        <w:rPr>
          <w:rFonts w:ascii="Arial" w:hAnsi="Arial" w:cs="Arial"/>
        </w:rPr>
      </w:pPr>
      <w:r w:rsidRPr="00763118">
        <w:rPr>
          <w:rFonts w:ascii="Arial" w:hAnsi="Arial" w:cs="Arial"/>
        </w:rPr>
        <w:t xml:space="preserve">With the structural adjustment </w:t>
      </w:r>
      <w:r w:rsidR="002F7CB9" w:rsidRPr="00763118">
        <w:rPr>
          <w:rFonts w:ascii="Arial" w:hAnsi="Arial" w:cs="Arial"/>
        </w:rPr>
        <w:t>forced</w:t>
      </w:r>
      <w:r w:rsidRPr="00763118">
        <w:rPr>
          <w:rFonts w:ascii="Arial" w:hAnsi="Arial" w:cs="Arial"/>
        </w:rPr>
        <w:t xml:space="preserve"> by the external intervention of the European Commission, the European Central Bank and the International Monetary Fund</w:t>
      </w:r>
      <w:r w:rsidR="002F7CB9" w:rsidRPr="00763118">
        <w:rPr>
          <w:rFonts w:ascii="Arial" w:hAnsi="Arial" w:cs="Arial"/>
        </w:rPr>
        <w:t xml:space="preserve"> in 2011</w:t>
      </w:r>
      <w:r w:rsidRPr="00763118">
        <w:rPr>
          <w:rFonts w:ascii="Arial" w:hAnsi="Arial" w:cs="Arial"/>
        </w:rPr>
        <w:t>, Portugal seems to have regained some</w:t>
      </w:r>
      <w:r w:rsidR="00571C50" w:rsidRPr="00763118">
        <w:rPr>
          <w:rFonts w:ascii="Arial" w:hAnsi="Arial" w:cs="Arial"/>
        </w:rPr>
        <w:t xml:space="preserve"> inter</w:t>
      </w:r>
      <w:r w:rsidR="004279F4" w:rsidRPr="00763118">
        <w:rPr>
          <w:rFonts w:ascii="Arial" w:hAnsi="Arial" w:cs="Arial"/>
        </w:rPr>
        <w:t xml:space="preserve">national competitiveness, with </w:t>
      </w:r>
      <w:r w:rsidR="00571C50" w:rsidRPr="00763118">
        <w:rPr>
          <w:rFonts w:ascii="Arial" w:hAnsi="Arial" w:cs="Arial"/>
        </w:rPr>
        <w:t xml:space="preserve">unit </w:t>
      </w:r>
      <w:r w:rsidRPr="00763118">
        <w:rPr>
          <w:rFonts w:ascii="Arial" w:hAnsi="Arial" w:cs="Arial"/>
        </w:rPr>
        <w:t>labor costs experienc</w:t>
      </w:r>
      <w:r w:rsidR="00571C50" w:rsidRPr="00763118">
        <w:rPr>
          <w:rFonts w:ascii="Arial" w:hAnsi="Arial" w:cs="Arial"/>
        </w:rPr>
        <w:t>ing</w:t>
      </w:r>
      <w:r w:rsidRPr="00763118">
        <w:rPr>
          <w:rFonts w:ascii="Arial" w:hAnsi="Arial" w:cs="Arial"/>
        </w:rPr>
        <w:t xml:space="preserve"> a large fall in 2013</w:t>
      </w:r>
      <w:r w:rsidR="004279F4" w:rsidRPr="00763118">
        <w:rPr>
          <w:rFonts w:ascii="Arial" w:hAnsi="Arial" w:cs="Arial"/>
        </w:rPr>
        <w:t xml:space="preserve"> (OECD, 2014b)</w:t>
      </w:r>
      <w:r w:rsidRPr="00763118">
        <w:rPr>
          <w:rFonts w:ascii="Arial" w:hAnsi="Arial" w:cs="Arial"/>
        </w:rPr>
        <w:t>. Though a large part of such fall was attained with decreases on labor wages</w:t>
      </w:r>
      <w:r w:rsidRPr="00763118">
        <w:rPr>
          <w:rStyle w:val="Refdenotaderodap"/>
          <w:rFonts w:ascii="Arial" w:hAnsi="Arial" w:cs="Arial"/>
        </w:rPr>
        <w:footnoteReference w:id="2"/>
      </w:r>
      <w:r w:rsidRPr="00763118">
        <w:rPr>
          <w:rFonts w:ascii="Arial" w:hAnsi="Arial" w:cs="Arial"/>
        </w:rPr>
        <w:t>, which was made possible by an intense increase in unemployment, some reforms enhanced productivity</w:t>
      </w:r>
      <w:r w:rsidR="004279F4" w:rsidRPr="00763118">
        <w:rPr>
          <w:rFonts w:ascii="Arial" w:hAnsi="Arial" w:cs="Arial"/>
        </w:rPr>
        <w:t xml:space="preserve"> (Idem)</w:t>
      </w:r>
      <w:r w:rsidRPr="00763118">
        <w:rPr>
          <w:rFonts w:ascii="Arial" w:hAnsi="Arial" w:cs="Arial"/>
        </w:rPr>
        <w:t xml:space="preserve">. According to OECD’s Product Market Regulation Database, Portugal’s network sector barriers lowered between 2008 and 2013, overtaking Germany and positioning itself as the second country, in the OECD, with the lowest regulation. Transport sectors regulation also decreased during this period. Reforms on employment protection also </w:t>
      </w:r>
      <w:r w:rsidR="00F649BC" w:rsidRPr="00763118">
        <w:rPr>
          <w:rFonts w:ascii="Arial" w:hAnsi="Arial" w:cs="Arial"/>
        </w:rPr>
        <w:t>affected labor wages (Idem</w:t>
      </w:r>
      <w:r w:rsidRPr="00763118">
        <w:rPr>
          <w:rFonts w:ascii="Arial" w:hAnsi="Arial" w:cs="Arial"/>
        </w:rPr>
        <w:t xml:space="preserve">). </w:t>
      </w:r>
      <w:r w:rsidR="002F7CB9" w:rsidRPr="00763118">
        <w:rPr>
          <w:rFonts w:ascii="Arial" w:hAnsi="Arial" w:cs="Arial"/>
        </w:rPr>
        <w:t>E</w:t>
      </w:r>
      <w:r w:rsidRPr="00763118">
        <w:rPr>
          <w:rFonts w:ascii="Arial" w:hAnsi="Arial" w:cs="Arial"/>
        </w:rPr>
        <w:t>xports ratio to GDP grew since 2009, attaining by the end of 2</w:t>
      </w:r>
      <w:r w:rsidR="00F649BC" w:rsidRPr="00763118">
        <w:rPr>
          <w:rFonts w:ascii="Arial" w:hAnsi="Arial" w:cs="Arial"/>
        </w:rPr>
        <w:t>013 a value over 40% (Idem</w:t>
      </w:r>
      <w:r w:rsidRPr="00763118">
        <w:rPr>
          <w:rFonts w:ascii="Arial" w:hAnsi="Arial" w:cs="Arial"/>
        </w:rPr>
        <w:t>).</w:t>
      </w:r>
    </w:p>
    <w:p w:rsidR="005B3A98" w:rsidRPr="008178DF" w:rsidRDefault="002F7CB9" w:rsidP="004455CB">
      <w:pPr>
        <w:spacing w:after="0" w:line="240" w:lineRule="auto"/>
        <w:ind w:firstLine="567"/>
        <w:jc w:val="both"/>
        <w:rPr>
          <w:rFonts w:ascii="Arial" w:hAnsi="Arial" w:cs="Arial"/>
        </w:rPr>
      </w:pPr>
      <w:r w:rsidRPr="008178DF">
        <w:rPr>
          <w:rFonts w:ascii="Arial" w:hAnsi="Arial" w:cs="Arial"/>
        </w:rPr>
        <w:t xml:space="preserve">In </w:t>
      </w:r>
      <w:r w:rsidR="005B3A98" w:rsidRPr="008178DF">
        <w:rPr>
          <w:rFonts w:ascii="Arial" w:hAnsi="Arial" w:cs="Arial"/>
        </w:rPr>
        <w:t xml:space="preserve">Poland, </w:t>
      </w:r>
      <w:r w:rsidR="0008217A" w:rsidRPr="008178DF">
        <w:rPr>
          <w:rFonts w:ascii="Arial" w:hAnsi="Arial" w:cs="Arial"/>
        </w:rPr>
        <w:t>in</w:t>
      </w:r>
      <w:r w:rsidR="00517C14" w:rsidRPr="008178DF">
        <w:rPr>
          <w:rFonts w:ascii="Arial" w:hAnsi="Arial" w:cs="Arial"/>
        </w:rPr>
        <w:t xml:space="preserve"> turn,</w:t>
      </w:r>
      <w:r w:rsidR="005B3A98" w:rsidRPr="008178DF">
        <w:rPr>
          <w:rFonts w:ascii="Arial" w:hAnsi="Arial" w:cs="Arial"/>
        </w:rPr>
        <w:t xml:space="preserve"> </w:t>
      </w:r>
      <w:r w:rsidRPr="008178DF">
        <w:rPr>
          <w:rFonts w:ascii="Arial" w:hAnsi="Arial" w:cs="Arial"/>
        </w:rPr>
        <w:t>th</w:t>
      </w:r>
      <w:r w:rsidR="005B3A98" w:rsidRPr="008178DF">
        <w:rPr>
          <w:rFonts w:ascii="Arial" w:hAnsi="Arial" w:cs="Arial"/>
        </w:rPr>
        <w:t xml:space="preserve">e communist heritage left deep marks in the market dynamic and </w:t>
      </w:r>
      <w:r w:rsidR="004279F4" w:rsidRPr="008178DF">
        <w:rPr>
          <w:rFonts w:ascii="Arial" w:hAnsi="Arial" w:cs="Arial"/>
        </w:rPr>
        <w:t>unti</w:t>
      </w:r>
      <w:r w:rsidR="005B3A98" w:rsidRPr="008178DF">
        <w:rPr>
          <w:rFonts w:ascii="Arial" w:hAnsi="Arial" w:cs="Arial"/>
        </w:rPr>
        <w:t>l the end of nineties, despite the fast economic growth, its competitiveness performance was weak (</w:t>
      </w:r>
      <w:proofErr w:type="spellStart"/>
      <w:r w:rsidR="005B3A98" w:rsidRPr="008178DF">
        <w:rPr>
          <w:rFonts w:ascii="Arial" w:hAnsi="Arial" w:cs="Arial"/>
        </w:rPr>
        <w:t>Glebocka</w:t>
      </w:r>
      <w:proofErr w:type="spellEnd"/>
      <w:r w:rsidR="005B3A98" w:rsidRPr="008178DF">
        <w:rPr>
          <w:rFonts w:ascii="Arial" w:hAnsi="Arial" w:cs="Arial"/>
        </w:rPr>
        <w:t xml:space="preserve">, 1997). The main critical factors of competitiveness were keeping macroeconomic stability, removing regional disparities, creating a bigger private sector and dealing with balance </w:t>
      </w:r>
      <w:r w:rsidR="00F649BC" w:rsidRPr="008178DF">
        <w:rPr>
          <w:rFonts w:ascii="Arial" w:hAnsi="Arial" w:cs="Arial"/>
        </w:rPr>
        <w:t>of payments disequilibrium (Idem</w:t>
      </w:r>
      <w:r w:rsidR="005B3A98" w:rsidRPr="008178DF">
        <w:rPr>
          <w:rFonts w:ascii="Arial" w:hAnsi="Arial" w:cs="Arial"/>
        </w:rPr>
        <w:t xml:space="preserve">). </w:t>
      </w:r>
      <w:r w:rsidRPr="008178DF">
        <w:rPr>
          <w:rFonts w:ascii="Arial" w:hAnsi="Arial" w:cs="Arial"/>
        </w:rPr>
        <w:t>However c</w:t>
      </w:r>
      <w:r w:rsidR="005B3A98" w:rsidRPr="008178DF">
        <w:rPr>
          <w:rFonts w:ascii="Arial" w:hAnsi="Arial" w:cs="Arial"/>
        </w:rPr>
        <w:t xml:space="preserve">ompetitiveness is gradually rising, having as positive components the fast growth of GDP, the higher levels of education and the low pressure in </w:t>
      </w:r>
      <w:r w:rsidR="00F649BC" w:rsidRPr="008178DF">
        <w:rPr>
          <w:rFonts w:ascii="Arial" w:hAnsi="Arial" w:cs="Arial"/>
        </w:rPr>
        <w:t>labor</w:t>
      </w:r>
      <w:r w:rsidR="005B3A98" w:rsidRPr="008178DF">
        <w:rPr>
          <w:rFonts w:ascii="Arial" w:hAnsi="Arial" w:cs="Arial"/>
        </w:rPr>
        <w:t xml:space="preserve"> costs</w:t>
      </w:r>
      <w:r w:rsidRPr="008178DF">
        <w:rPr>
          <w:rFonts w:ascii="Arial" w:hAnsi="Arial" w:cs="Arial"/>
        </w:rPr>
        <w:t xml:space="preserve">, while </w:t>
      </w:r>
      <w:r w:rsidR="005B3A98" w:rsidRPr="008178DF">
        <w:rPr>
          <w:rFonts w:ascii="Arial" w:hAnsi="Arial" w:cs="Arial"/>
        </w:rPr>
        <w:t xml:space="preserve">the negative ones are low investment in R&amp;D, low levels of innovation, complex companies’ registration process, slow business market and bad transport infrastructures. The European policies, </w:t>
      </w:r>
      <w:r w:rsidR="002B0D16" w:rsidRPr="008178DF">
        <w:rPr>
          <w:rFonts w:ascii="Arial" w:hAnsi="Arial" w:cs="Arial"/>
        </w:rPr>
        <w:t>especially</w:t>
      </w:r>
      <w:r w:rsidR="005B3A98" w:rsidRPr="008178DF">
        <w:rPr>
          <w:rFonts w:ascii="Arial" w:hAnsi="Arial" w:cs="Arial"/>
        </w:rPr>
        <w:t xml:space="preserve"> the regional ones, were very important to modernize polish economy and strengthen the regional competitiveness (</w:t>
      </w:r>
      <w:proofErr w:type="spellStart"/>
      <w:r w:rsidR="005B3A98" w:rsidRPr="008178DF">
        <w:rPr>
          <w:rFonts w:ascii="Arial" w:hAnsi="Arial" w:cs="Arial"/>
        </w:rPr>
        <w:t>Bronisz</w:t>
      </w:r>
      <w:proofErr w:type="spellEnd"/>
      <w:r w:rsidR="005B3A98" w:rsidRPr="008178DF">
        <w:rPr>
          <w:rFonts w:ascii="Arial" w:hAnsi="Arial" w:cs="Arial"/>
        </w:rPr>
        <w:t xml:space="preserve"> </w:t>
      </w:r>
      <w:r w:rsidR="005B3A98" w:rsidRPr="008178DF">
        <w:rPr>
          <w:rFonts w:ascii="Arial" w:hAnsi="Arial" w:cs="Arial"/>
          <w:i/>
        </w:rPr>
        <w:t>et al</w:t>
      </w:r>
      <w:r w:rsidR="005B3A98" w:rsidRPr="008178DF">
        <w:rPr>
          <w:rFonts w:ascii="Arial" w:hAnsi="Arial" w:cs="Arial"/>
        </w:rPr>
        <w:t>, 2008). In 2005, one year after the integration, Poland had already improve</w:t>
      </w:r>
      <w:r w:rsidRPr="008178DF">
        <w:rPr>
          <w:rFonts w:ascii="Arial" w:hAnsi="Arial" w:cs="Arial"/>
        </w:rPr>
        <w:t>d</w:t>
      </w:r>
      <w:r w:rsidR="005B3A98" w:rsidRPr="008178DF">
        <w:rPr>
          <w:rFonts w:ascii="Arial" w:hAnsi="Arial" w:cs="Arial"/>
        </w:rPr>
        <w:t xml:space="preserve"> its competitiveness towards the 15 EU members in 10 percentage points and in 2007 had </w:t>
      </w:r>
      <w:r w:rsidRPr="008178DF">
        <w:rPr>
          <w:rFonts w:ascii="Arial" w:hAnsi="Arial" w:cs="Arial"/>
        </w:rPr>
        <w:t xml:space="preserve">already </w:t>
      </w:r>
      <w:r w:rsidR="005B3A98" w:rsidRPr="008178DF">
        <w:rPr>
          <w:rFonts w:ascii="Arial" w:hAnsi="Arial" w:cs="Arial"/>
        </w:rPr>
        <w:t>accomplished 53,4% of the EU average (</w:t>
      </w:r>
      <w:proofErr w:type="spellStart"/>
      <w:r w:rsidR="005B3A98" w:rsidRPr="008178DF">
        <w:rPr>
          <w:rFonts w:ascii="Arial" w:hAnsi="Arial" w:cs="Arial"/>
        </w:rPr>
        <w:t>Bronisz</w:t>
      </w:r>
      <w:proofErr w:type="spellEnd"/>
      <w:r w:rsidR="005B3A98" w:rsidRPr="008178DF">
        <w:rPr>
          <w:rFonts w:ascii="Arial" w:hAnsi="Arial" w:cs="Arial"/>
        </w:rPr>
        <w:t xml:space="preserve"> </w:t>
      </w:r>
      <w:r w:rsidR="005B3A98" w:rsidRPr="008178DF">
        <w:rPr>
          <w:rFonts w:ascii="Arial" w:hAnsi="Arial" w:cs="Arial"/>
          <w:i/>
        </w:rPr>
        <w:t>et al</w:t>
      </w:r>
      <w:r w:rsidR="005B3A98" w:rsidRPr="008178DF">
        <w:rPr>
          <w:rFonts w:ascii="Arial" w:hAnsi="Arial" w:cs="Arial"/>
        </w:rPr>
        <w:t>, 2008)</w:t>
      </w:r>
      <w:r w:rsidRPr="008178DF">
        <w:rPr>
          <w:rFonts w:ascii="Arial" w:hAnsi="Arial" w:cs="Arial"/>
        </w:rPr>
        <w:t xml:space="preserve"> and, according to </w:t>
      </w:r>
      <w:r w:rsidR="009343BA" w:rsidRPr="008178DF">
        <w:rPr>
          <w:rFonts w:ascii="Arial" w:hAnsi="Arial" w:cs="Arial"/>
        </w:rPr>
        <w:t>World Economic Forum (2013)</w:t>
      </w:r>
      <w:r w:rsidR="002B0D16" w:rsidRPr="008178DF">
        <w:rPr>
          <w:rFonts w:ascii="Arial" w:hAnsi="Arial" w:cs="Arial"/>
        </w:rPr>
        <w:t>,</w:t>
      </w:r>
      <w:r w:rsidRPr="008178DF">
        <w:rPr>
          <w:rFonts w:ascii="Arial" w:hAnsi="Arial" w:cs="Arial"/>
        </w:rPr>
        <w:t xml:space="preserve"> </w:t>
      </w:r>
      <w:r w:rsidR="005B3A98" w:rsidRPr="008178DF">
        <w:rPr>
          <w:rFonts w:ascii="Arial" w:hAnsi="Arial" w:cs="Arial"/>
        </w:rPr>
        <w:t xml:space="preserve">Polish economy </w:t>
      </w:r>
      <w:r w:rsidRPr="008178DF">
        <w:rPr>
          <w:rFonts w:ascii="Arial" w:hAnsi="Arial" w:cs="Arial"/>
        </w:rPr>
        <w:t>is</w:t>
      </w:r>
      <w:r w:rsidR="005B3A98" w:rsidRPr="008178DF">
        <w:rPr>
          <w:rFonts w:ascii="Arial" w:hAnsi="Arial" w:cs="Arial"/>
        </w:rPr>
        <w:t xml:space="preserve"> growing faster </w:t>
      </w:r>
      <w:r w:rsidR="00F649BC" w:rsidRPr="008178DF">
        <w:rPr>
          <w:rFonts w:ascii="Arial" w:hAnsi="Arial" w:cs="Arial"/>
        </w:rPr>
        <w:t>than Central and Eastern Europe</w:t>
      </w:r>
      <w:r w:rsidRPr="008178DF">
        <w:rPr>
          <w:rFonts w:ascii="Arial" w:hAnsi="Arial" w:cs="Arial"/>
        </w:rPr>
        <w:t>.</w:t>
      </w:r>
      <w:r w:rsidR="00F649BC" w:rsidRPr="008178DF">
        <w:rPr>
          <w:rFonts w:ascii="Arial" w:hAnsi="Arial" w:cs="Arial"/>
        </w:rPr>
        <w:t xml:space="preserve"> </w:t>
      </w:r>
      <w:r w:rsidR="005B3A98" w:rsidRPr="008178DF">
        <w:rPr>
          <w:rFonts w:ascii="Arial" w:hAnsi="Arial" w:cs="Arial"/>
        </w:rPr>
        <w:t xml:space="preserve">Some of the components that have contributed to this positive performance were: the </w:t>
      </w:r>
      <w:r w:rsidR="00122A64" w:rsidRPr="008178DF">
        <w:rPr>
          <w:rFonts w:ascii="Arial" w:hAnsi="Arial" w:cs="Arial"/>
        </w:rPr>
        <w:t>labor</w:t>
      </w:r>
      <w:r w:rsidR="005B3A98" w:rsidRPr="008178DF">
        <w:rPr>
          <w:rFonts w:ascii="Arial" w:hAnsi="Arial" w:cs="Arial"/>
        </w:rPr>
        <w:t xml:space="preserve"> productivity per working hour, that reached 73,4% of the EU average in 2013 (European Commission, 2014); the low pressure in </w:t>
      </w:r>
      <w:r w:rsidR="00122A64" w:rsidRPr="008178DF">
        <w:rPr>
          <w:rFonts w:ascii="Arial" w:hAnsi="Arial" w:cs="Arial"/>
        </w:rPr>
        <w:t>labor costs; the Polish exports as percentage</w:t>
      </w:r>
      <w:r w:rsidR="005B3A98" w:rsidRPr="008178DF">
        <w:rPr>
          <w:rFonts w:ascii="Arial" w:hAnsi="Arial" w:cs="Arial"/>
        </w:rPr>
        <w:t xml:space="preserve"> of GDP also registered a better perfo</w:t>
      </w:r>
      <w:r w:rsidR="001420F2" w:rsidRPr="008178DF">
        <w:rPr>
          <w:rFonts w:ascii="Arial" w:hAnsi="Arial" w:cs="Arial"/>
        </w:rPr>
        <w:t>rmance than the rest of EU (I</w:t>
      </w:r>
      <w:r w:rsidR="002B0D16" w:rsidRPr="008178DF">
        <w:rPr>
          <w:rFonts w:ascii="Arial" w:hAnsi="Arial" w:cs="Arial"/>
        </w:rPr>
        <w:t>dem</w:t>
      </w:r>
      <w:r w:rsidR="005B3A98" w:rsidRPr="008178DF">
        <w:rPr>
          <w:rFonts w:ascii="Arial" w:hAnsi="Arial" w:cs="Arial"/>
        </w:rPr>
        <w:t xml:space="preserve">); and, unlike Portugal, the current account deficit low levels, which was 1,3% GDP in </w:t>
      </w:r>
      <w:r w:rsidR="005B3A98" w:rsidRPr="008178DF">
        <w:rPr>
          <w:rFonts w:ascii="Arial" w:hAnsi="Arial" w:cs="Arial"/>
        </w:rPr>
        <w:lastRenderedPageBreak/>
        <w:t>2013 (5</w:t>
      </w:r>
      <w:r w:rsidR="001420F2" w:rsidRPr="008178DF">
        <w:rPr>
          <w:rFonts w:ascii="Arial" w:hAnsi="Arial" w:cs="Arial"/>
        </w:rPr>
        <w:t>% and 3,7%  in 2011-2012) (I</w:t>
      </w:r>
      <w:r w:rsidR="002B0D16" w:rsidRPr="008178DF">
        <w:rPr>
          <w:rFonts w:ascii="Arial" w:hAnsi="Arial" w:cs="Arial"/>
        </w:rPr>
        <w:t>dem)</w:t>
      </w:r>
      <w:r w:rsidR="005B3A98" w:rsidRPr="008178DF">
        <w:rPr>
          <w:rFonts w:ascii="Arial" w:hAnsi="Arial" w:cs="Arial"/>
        </w:rPr>
        <w:t xml:space="preserve">, giving a significant slack to the economy. Another positive point is the gross fixed capital formation, clearly above the EU average </w:t>
      </w:r>
      <w:r w:rsidR="009343BA" w:rsidRPr="008178DF">
        <w:rPr>
          <w:rFonts w:ascii="Arial" w:hAnsi="Arial" w:cs="Arial"/>
        </w:rPr>
        <w:t xml:space="preserve">- </w:t>
      </w:r>
      <w:r w:rsidR="005B3A98" w:rsidRPr="008178DF">
        <w:rPr>
          <w:rFonts w:ascii="Arial" w:hAnsi="Arial" w:cs="Arial"/>
        </w:rPr>
        <w:t>despite th</w:t>
      </w:r>
      <w:r w:rsidR="001420F2" w:rsidRPr="008178DF">
        <w:rPr>
          <w:rFonts w:ascii="Arial" w:hAnsi="Arial" w:cs="Arial"/>
        </w:rPr>
        <w:t>e recent slowdown tendency (I</w:t>
      </w:r>
      <w:r w:rsidR="002B0D16" w:rsidRPr="008178DF">
        <w:rPr>
          <w:rFonts w:ascii="Arial" w:hAnsi="Arial" w:cs="Arial"/>
        </w:rPr>
        <w:t>dem</w:t>
      </w:r>
      <w:r w:rsidR="005B3A98" w:rsidRPr="008178DF">
        <w:rPr>
          <w:rFonts w:ascii="Arial" w:hAnsi="Arial" w:cs="Arial"/>
        </w:rPr>
        <w:t>). Poland is also in a good position related with access to finance, being in second place of the World Bank Doing Busin</w:t>
      </w:r>
      <w:r w:rsidR="009343BA" w:rsidRPr="008178DF">
        <w:rPr>
          <w:rFonts w:ascii="Arial" w:hAnsi="Arial" w:cs="Arial"/>
        </w:rPr>
        <w:t xml:space="preserve">ess 2014 </w:t>
      </w:r>
      <w:r w:rsidR="002B0D16" w:rsidRPr="008178DF">
        <w:rPr>
          <w:rFonts w:ascii="Arial" w:hAnsi="Arial" w:cs="Arial"/>
        </w:rPr>
        <w:t>Report rank (</w:t>
      </w:r>
      <w:r w:rsidR="005B3A98" w:rsidRPr="008178DF">
        <w:rPr>
          <w:rFonts w:ascii="Arial" w:hAnsi="Arial" w:cs="Arial"/>
        </w:rPr>
        <w:t>European Commission, 2014).</w:t>
      </w:r>
      <w:r w:rsidR="008178DF" w:rsidRPr="008178DF">
        <w:rPr>
          <w:rFonts w:ascii="Arial" w:hAnsi="Arial" w:cs="Arial"/>
        </w:rPr>
        <w:t xml:space="preserve"> Since competitiveness is achieved with public authorities creating framework conditions to their enterprises (</w:t>
      </w:r>
      <w:proofErr w:type="spellStart"/>
      <w:r w:rsidR="008178DF" w:rsidRPr="008178DF">
        <w:rPr>
          <w:rFonts w:ascii="Arial" w:hAnsi="Arial" w:cs="Arial"/>
        </w:rPr>
        <w:t>Glebocka</w:t>
      </w:r>
      <w:proofErr w:type="spellEnd"/>
      <w:r w:rsidR="008178DF" w:rsidRPr="008178DF">
        <w:rPr>
          <w:rFonts w:ascii="Arial" w:hAnsi="Arial" w:cs="Arial"/>
        </w:rPr>
        <w:t xml:space="preserve">, 1997), Poland seems to be in the right track. Despite the complex process for companies’ registration, Poland is in the fourth place in what concerns to the high-growth companies in EU ranking, with 4% (European Commission, 2014). As for skill levels, Poland has a tertiary education higher than EU, improved by the 2010-2011 Higher Education Reform. With the implementation of Enterprise Development </w:t>
      </w:r>
      <w:proofErr w:type="spellStart"/>
      <w:r w:rsidR="008178DF" w:rsidRPr="008178DF">
        <w:rPr>
          <w:rFonts w:ascii="Arial" w:hAnsi="Arial" w:cs="Arial"/>
        </w:rPr>
        <w:t>Programme</w:t>
      </w:r>
      <w:proofErr w:type="spellEnd"/>
      <w:r w:rsidR="008178DF" w:rsidRPr="008178DF">
        <w:rPr>
          <w:rFonts w:ascii="Arial" w:hAnsi="Arial" w:cs="Arial"/>
        </w:rPr>
        <w:t xml:space="preserve">, which is focused on R&amp;D improvements, competitiveness will also increase. Another measure has been taken by the State Development Bank of Poland, which intends to </w:t>
      </w:r>
      <w:r w:rsidR="0079202D" w:rsidRPr="008178DF">
        <w:rPr>
          <w:rFonts w:ascii="Arial" w:hAnsi="Arial" w:cs="Arial"/>
        </w:rPr>
        <w:t>standardize</w:t>
      </w:r>
      <w:r w:rsidR="008178DF" w:rsidRPr="008178DF">
        <w:rPr>
          <w:rFonts w:ascii="Arial" w:hAnsi="Arial" w:cs="Arial"/>
        </w:rPr>
        <w:t xml:space="preserve"> the procedure and products of guarantees and loan funds at a regional and local level. This procedure has a very facilitated and increased financial effectiveness (OECD, 2014a).</w:t>
      </w:r>
    </w:p>
    <w:p w:rsidR="00F01305" w:rsidRPr="00763118" w:rsidRDefault="005B3A98" w:rsidP="009343BA">
      <w:pPr>
        <w:spacing w:after="0" w:line="240" w:lineRule="auto"/>
        <w:ind w:firstLine="567"/>
        <w:jc w:val="both"/>
        <w:rPr>
          <w:rFonts w:ascii="Arial" w:hAnsi="Arial" w:cs="Arial"/>
        </w:rPr>
      </w:pPr>
      <w:r w:rsidRPr="008178DF">
        <w:rPr>
          <w:rFonts w:ascii="Arial" w:hAnsi="Arial" w:cs="Arial"/>
        </w:rPr>
        <w:t>However, some problems that harm competitiveness have been n</w:t>
      </w:r>
      <w:r w:rsidR="00F649BC" w:rsidRPr="008178DF">
        <w:rPr>
          <w:rFonts w:ascii="Arial" w:hAnsi="Arial" w:cs="Arial"/>
        </w:rPr>
        <w:t>oticed, like the lower rate of labor</w:t>
      </w:r>
      <w:r w:rsidRPr="008178DF">
        <w:rPr>
          <w:rFonts w:ascii="Arial" w:hAnsi="Arial" w:cs="Arial"/>
        </w:rPr>
        <w:t xml:space="preserve"> </w:t>
      </w:r>
      <w:r w:rsidR="00F649BC" w:rsidRPr="008178DF">
        <w:rPr>
          <w:rFonts w:ascii="Arial" w:hAnsi="Arial" w:cs="Arial"/>
        </w:rPr>
        <w:t>utilization</w:t>
      </w:r>
      <w:r w:rsidRPr="008178DF">
        <w:rPr>
          <w:rFonts w:ascii="Arial" w:hAnsi="Arial" w:cs="Arial"/>
        </w:rPr>
        <w:t xml:space="preserve"> due to the existence of structural unemployment, the lack of transport infrastructures, specially railway (OECD</w:t>
      </w:r>
      <w:r w:rsidR="00F649BC" w:rsidRPr="008178DF">
        <w:rPr>
          <w:rFonts w:ascii="Arial" w:hAnsi="Arial" w:cs="Arial"/>
        </w:rPr>
        <w:t>, 201</w:t>
      </w:r>
      <w:r w:rsidRPr="008178DF">
        <w:rPr>
          <w:rFonts w:ascii="Arial" w:hAnsi="Arial" w:cs="Arial"/>
        </w:rPr>
        <w:t>4</w:t>
      </w:r>
      <w:r w:rsidR="00F649BC" w:rsidRPr="008178DF">
        <w:rPr>
          <w:rFonts w:ascii="Arial" w:hAnsi="Arial" w:cs="Arial"/>
        </w:rPr>
        <w:t>c</w:t>
      </w:r>
      <w:r w:rsidRPr="008178DF">
        <w:rPr>
          <w:rFonts w:ascii="Arial" w:hAnsi="Arial" w:cs="Arial"/>
        </w:rPr>
        <w:t>), the inefficiency of public employment services and the weak investment in R&amp;D, which affects the levels of innovation (</w:t>
      </w:r>
      <w:r w:rsidR="003165AA" w:rsidRPr="008178DF">
        <w:rPr>
          <w:rFonts w:ascii="Arial" w:hAnsi="Arial" w:cs="Arial"/>
        </w:rPr>
        <w:t xml:space="preserve">European </w:t>
      </w:r>
      <w:proofErr w:type="spellStart"/>
      <w:r w:rsidR="003165AA" w:rsidRPr="008178DF">
        <w:rPr>
          <w:rFonts w:ascii="Arial" w:hAnsi="Arial" w:cs="Arial"/>
        </w:rPr>
        <w:t>Comission</w:t>
      </w:r>
      <w:proofErr w:type="spellEnd"/>
      <w:r w:rsidR="003165AA" w:rsidRPr="008178DF">
        <w:rPr>
          <w:rFonts w:ascii="Arial" w:hAnsi="Arial" w:cs="Arial"/>
        </w:rPr>
        <w:t>,</w:t>
      </w:r>
      <w:r w:rsidRPr="008178DF">
        <w:rPr>
          <w:rFonts w:ascii="Arial" w:hAnsi="Arial" w:cs="Arial"/>
        </w:rPr>
        <w:t xml:space="preserve"> 2011). Polish R&amp;D intensity </w:t>
      </w:r>
      <w:r w:rsidR="001420F2" w:rsidRPr="008178DF">
        <w:rPr>
          <w:rFonts w:ascii="Arial" w:hAnsi="Arial" w:cs="Arial"/>
        </w:rPr>
        <w:t>is one of the lowest in EU (Idem</w:t>
      </w:r>
      <w:r w:rsidRPr="008178DF">
        <w:rPr>
          <w:rFonts w:ascii="Arial" w:hAnsi="Arial" w:cs="Arial"/>
        </w:rPr>
        <w:t>), having the registered expenditure of 0</w:t>
      </w:r>
      <w:proofErr w:type="gramStart"/>
      <w:r w:rsidRPr="008178DF">
        <w:rPr>
          <w:rFonts w:ascii="Arial" w:hAnsi="Arial" w:cs="Arial"/>
        </w:rPr>
        <w:t>,9</w:t>
      </w:r>
      <w:proofErr w:type="gramEnd"/>
      <w:r w:rsidRPr="008178DF">
        <w:rPr>
          <w:rFonts w:ascii="Arial" w:hAnsi="Arial" w:cs="Arial"/>
        </w:rPr>
        <w:t>% while the EU average is 2,06% (European Commission, 2014). Product-market regulations have also contributed to the tough achievement of a better competitiveness. There are barriers to entrepreneurship, slow and costly business re</w:t>
      </w:r>
      <w:r w:rsidR="00A45042" w:rsidRPr="008178DF">
        <w:rPr>
          <w:rFonts w:ascii="Arial" w:hAnsi="Arial" w:cs="Arial"/>
        </w:rPr>
        <w:t>gistration processes, and State</w:t>
      </w:r>
      <w:r w:rsidRPr="008178DF">
        <w:rPr>
          <w:rFonts w:ascii="Arial" w:hAnsi="Arial" w:cs="Arial"/>
        </w:rPr>
        <w:t xml:space="preserve"> continue</w:t>
      </w:r>
      <w:r w:rsidR="00A45042" w:rsidRPr="008178DF">
        <w:rPr>
          <w:rFonts w:ascii="Arial" w:hAnsi="Arial" w:cs="Arial"/>
        </w:rPr>
        <w:t>s</w:t>
      </w:r>
      <w:r w:rsidRPr="008178DF">
        <w:rPr>
          <w:rFonts w:ascii="Arial" w:hAnsi="Arial" w:cs="Arial"/>
        </w:rPr>
        <w:t xml:space="preserve"> </w:t>
      </w:r>
      <w:r w:rsidR="00A45042" w:rsidRPr="008178DF">
        <w:rPr>
          <w:rFonts w:ascii="Arial" w:hAnsi="Arial" w:cs="Arial"/>
        </w:rPr>
        <w:t xml:space="preserve">to </w:t>
      </w:r>
      <w:r w:rsidRPr="008178DF">
        <w:rPr>
          <w:rFonts w:ascii="Arial" w:hAnsi="Arial" w:cs="Arial"/>
        </w:rPr>
        <w:t>hav</w:t>
      </w:r>
      <w:r w:rsidR="00A45042" w:rsidRPr="008178DF">
        <w:rPr>
          <w:rFonts w:ascii="Arial" w:hAnsi="Arial" w:cs="Arial"/>
        </w:rPr>
        <w:t>e</w:t>
      </w:r>
      <w:r w:rsidRPr="008178DF">
        <w:rPr>
          <w:rFonts w:ascii="Arial" w:hAnsi="Arial" w:cs="Arial"/>
        </w:rPr>
        <w:t xml:space="preserve"> a high intervention, even in potential competitive sectors. </w:t>
      </w:r>
    </w:p>
    <w:p w:rsidR="00F01305" w:rsidRPr="00763118" w:rsidRDefault="00F01305" w:rsidP="004455CB">
      <w:pPr>
        <w:spacing w:after="0" w:line="240" w:lineRule="auto"/>
        <w:ind w:firstLine="567"/>
        <w:jc w:val="both"/>
        <w:rPr>
          <w:rFonts w:ascii="Arial" w:hAnsi="Arial" w:cs="Arial"/>
          <w:b/>
        </w:rPr>
      </w:pPr>
    </w:p>
    <w:p w:rsidR="002B0D16" w:rsidRPr="002B0D16" w:rsidRDefault="002B0D16" w:rsidP="004455CB">
      <w:pPr>
        <w:spacing w:before="220" w:after="220" w:line="240" w:lineRule="auto"/>
        <w:jc w:val="both"/>
        <w:rPr>
          <w:rFonts w:ascii="Arial" w:hAnsi="Arial" w:cs="Arial"/>
          <w:b/>
        </w:rPr>
      </w:pPr>
      <w:r>
        <w:rPr>
          <w:rFonts w:ascii="Arial" w:hAnsi="Arial" w:cs="Arial"/>
          <w:b/>
        </w:rPr>
        <w:t>III. METHODOLOGICAL APPROACH</w:t>
      </w:r>
    </w:p>
    <w:p w:rsidR="00452B23" w:rsidRPr="002B0D16" w:rsidRDefault="002B0D16" w:rsidP="004455CB">
      <w:pPr>
        <w:spacing w:before="220" w:after="220" w:line="240" w:lineRule="auto"/>
        <w:jc w:val="both"/>
        <w:rPr>
          <w:rFonts w:ascii="Arial" w:hAnsi="Arial" w:cs="Arial"/>
          <w:b/>
        </w:rPr>
      </w:pPr>
      <w:r w:rsidRPr="002B0D16">
        <w:rPr>
          <w:rFonts w:ascii="Arial" w:hAnsi="Arial" w:cs="Arial"/>
          <w:b/>
        </w:rPr>
        <w:t>CONSTANT MARKET SHARE</w:t>
      </w:r>
    </w:p>
    <w:p w:rsidR="00612282" w:rsidRDefault="00612282" w:rsidP="004455CB">
      <w:pPr>
        <w:tabs>
          <w:tab w:val="left" w:pos="426"/>
        </w:tabs>
        <w:spacing w:after="0" w:line="240" w:lineRule="auto"/>
        <w:ind w:firstLine="567"/>
        <w:jc w:val="both"/>
        <w:rPr>
          <w:rFonts w:ascii="Arial" w:hAnsi="Arial" w:cs="Arial"/>
        </w:rPr>
      </w:pPr>
      <w:r w:rsidRPr="00763118">
        <w:rPr>
          <w:rFonts w:ascii="Arial" w:hAnsi="Arial" w:cs="Arial"/>
        </w:rPr>
        <w:t xml:space="preserve">This study is interested in analyzing Portugal and Poland’s export performance from 2001 to 2013. In order to do such, Constant Market Share methodology is used. A Constant Market Share methodology, based on </w:t>
      </w:r>
      <w:proofErr w:type="spellStart"/>
      <w:r w:rsidRPr="00763118">
        <w:rPr>
          <w:rFonts w:ascii="Arial" w:hAnsi="Arial" w:cs="Arial"/>
        </w:rPr>
        <w:t>Jepma</w:t>
      </w:r>
      <w:proofErr w:type="spellEnd"/>
      <w:r w:rsidRPr="00763118">
        <w:rPr>
          <w:rFonts w:ascii="Arial" w:hAnsi="Arial" w:cs="Arial"/>
        </w:rPr>
        <w:t xml:space="preserve"> (1981) justifies changes in a countries’ exports performance through an increase of demand, competitiveness and interaction effects. In the present study, the export performance is evaluated as a sum of four effects: scale effect, product effect, market effect and competitiveness effect. Taken together, export performance can be written in the following identity:</w:t>
      </w:r>
    </w:p>
    <w:p w:rsidR="00ED2E59" w:rsidRPr="00763118" w:rsidRDefault="00ED2E59" w:rsidP="004455CB">
      <w:pPr>
        <w:tabs>
          <w:tab w:val="left" w:pos="426"/>
        </w:tabs>
        <w:spacing w:after="0" w:line="240" w:lineRule="auto"/>
        <w:ind w:firstLine="567"/>
        <w:jc w:val="both"/>
        <w:rPr>
          <w:rFonts w:ascii="Arial" w:hAnsi="Arial" w:cs="Arial"/>
        </w:rPr>
      </w:pPr>
    </w:p>
    <w:p w:rsidR="00612282" w:rsidRPr="00ED2E59" w:rsidRDefault="004455CB" w:rsidP="004455CB">
      <w:pPr>
        <w:spacing w:after="0" w:line="240" w:lineRule="auto"/>
        <w:ind w:firstLine="567"/>
        <w:jc w:val="both"/>
        <w:rPr>
          <w:rFonts w:ascii="Arial" w:hAnsi="Arial" w:cs="Arial"/>
        </w:rPr>
      </w:pPr>
      <m:oMathPara>
        <m:oMathParaPr>
          <m:jc m:val="center"/>
        </m:oMathParaPr>
        <m:oMath>
          <m:r>
            <m:rPr>
              <m:sty m:val="p"/>
            </m:rPr>
            <w:rPr>
              <w:rFonts w:ascii="Cambria Math" w:hAnsi="Cambria Math" w:cs="Arial"/>
            </w:rPr>
            <m:t>∆q=</m:t>
          </m:r>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0</m:t>
              </m:r>
            </m:sub>
          </m:sSub>
          <m:r>
            <m:rPr>
              <m:sty m:val="p"/>
            </m:rPr>
            <w:rPr>
              <w:rFonts w:ascii="Cambria Math" w:hAnsi="Cambria Math" w:cs="Arial"/>
            </w:rPr>
            <m:t>*∆Q+</m:t>
          </m:r>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i0</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0</m:t>
                  </m:r>
                </m:sub>
              </m:sSub>
              <m:r>
                <m:rPr>
                  <m:sty m:val="p"/>
                </m:rPr>
                <w:rPr>
                  <w:rFonts w:ascii="Cambria Math" w:hAnsi="Cambria Math" w:cs="Arial"/>
                </w:rPr>
                <m:t>*∆Q</m:t>
              </m:r>
            </m:e>
          </m:d>
          <m:r>
            <m:rPr>
              <m:sty m:val="p"/>
            </m:rP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i</m:t>
                  </m:r>
                </m:sub>
              </m:sSub>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j</m:t>
                  </m:r>
                </m:sub>
              </m:sSub>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ij0</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ij</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i</m:t>
                  </m:r>
                </m:sub>
              </m:sSub>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i0</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i</m:t>
                  </m:r>
                </m:sub>
              </m:sSub>
              <m:r>
                <m:rPr>
                  <m:sty m:val="p"/>
                </m:rPr>
                <w:rPr>
                  <w:rFonts w:ascii="Cambria Math" w:hAnsi="Cambria Math" w:cs="Arial"/>
                </w:rPr>
                <m:t>)</m:t>
              </m:r>
            </m:e>
          </m:d>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i</m:t>
              </m:r>
            </m:sub>
          </m:sSub>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j</m:t>
              </m:r>
            </m:sub>
          </m:sSub>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ij</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ij1</m:t>
              </m:r>
            </m:sub>
          </m:sSub>
        </m:oMath>
      </m:oMathPara>
    </w:p>
    <w:p w:rsidR="00ED2E59" w:rsidRPr="004455CB" w:rsidRDefault="00ED2E59" w:rsidP="004455CB">
      <w:pPr>
        <w:spacing w:after="0" w:line="240" w:lineRule="auto"/>
        <w:ind w:firstLine="567"/>
        <w:jc w:val="both"/>
        <w:rPr>
          <w:rFonts w:ascii="Arial" w:hAnsi="Arial" w:cs="Arial"/>
        </w:rPr>
      </w:pPr>
    </w:p>
    <w:p w:rsidR="00612282" w:rsidRPr="00763118" w:rsidRDefault="00612282" w:rsidP="004455CB">
      <w:pPr>
        <w:spacing w:after="0" w:line="240" w:lineRule="auto"/>
        <w:ind w:firstLine="567"/>
        <w:jc w:val="both"/>
        <w:rPr>
          <w:rFonts w:ascii="Arial" w:hAnsi="Arial" w:cs="Arial"/>
        </w:rPr>
      </w:pPr>
      <w:r w:rsidRPr="00763118">
        <w:rPr>
          <w:rFonts w:ascii="Arial" w:hAnsi="Arial" w:cs="Arial"/>
        </w:rPr>
        <w:t xml:space="preserve">As the total effect (a country’s export performance) is given </w:t>
      </w:r>
      <w:proofErr w:type="gramStart"/>
      <w:r w:rsidRPr="00763118">
        <w:rPr>
          <w:rFonts w:ascii="Arial" w:hAnsi="Arial" w:cs="Arial"/>
        </w:rPr>
        <w:t xml:space="preserve">by </w:t>
      </w:r>
      <m:oMath>
        <w:proofErr w:type="gramEnd"/>
        <m:r>
          <m:rPr>
            <m:sty m:val="p"/>
          </m:rPr>
          <w:rPr>
            <w:rFonts w:ascii="Cambria Math" w:eastAsia="Times New Roman" w:hAnsi="Cambria Math" w:cs="Arial"/>
          </w:rPr>
          <m:t>∆q=∆[</m:t>
        </m:r>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m:t>
            </m:r>
          </m:sub>
        </m:sSub>
        <m:r>
          <m:rPr>
            <m:sty m:val="p"/>
          </m:rPr>
          <w:rPr>
            <w:rFonts w:ascii="Cambria Math" w:eastAsia="Times New Roman" w:hAnsi="Cambria Math" w:cs="Arial"/>
          </w:rPr>
          <m:t>]</m:t>
        </m:r>
      </m:oMath>
      <w:r w:rsidRPr="004455CB">
        <w:rPr>
          <w:rFonts w:ascii="Arial" w:hAnsi="Arial" w:cs="Arial"/>
        </w:rPr>
        <w:t>,</w:t>
      </w:r>
      <w:r w:rsidRPr="00763118">
        <w:rPr>
          <w:rFonts w:ascii="Arial" w:hAnsi="Arial" w:cs="Arial"/>
        </w:rPr>
        <w:t xml:space="preserve"> which refers to the total difference of the product in the exports of a country (in this case Portugal and Poland) for the destination market </w:t>
      </w:r>
      <w:r w:rsidRPr="00763118">
        <w:rPr>
          <w:rFonts w:ascii="Arial" w:hAnsi="Arial" w:cs="Arial"/>
          <w:i/>
        </w:rPr>
        <w:t>j</w:t>
      </w:r>
      <w:r w:rsidRPr="00763118">
        <w:rPr>
          <w:rFonts w:ascii="Arial" w:hAnsi="Arial" w:cs="Arial"/>
        </w:rPr>
        <w:t xml:space="preserve"> (EU15, except Portugal) in the studied period.</w:t>
      </w:r>
    </w:p>
    <w:p w:rsidR="00612282" w:rsidRPr="00763118" w:rsidRDefault="00CA3DB6" w:rsidP="004455CB">
      <w:pPr>
        <w:spacing w:after="0" w:line="240" w:lineRule="auto"/>
        <w:ind w:firstLine="567"/>
        <w:jc w:val="both"/>
        <w:rPr>
          <w:rFonts w:ascii="Arial" w:hAnsi="Arial" w:cs="Arial"/>
        </w:rPr>
      </w:pPr>
      <m:oMath>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0</m:t>
            </m:r>
          </m:sub>
        </m:sSub>
        <m:r>
          <m:rPr>
            <m:sty m:val="p"/>
          </m:rPr>
          <w:rPr>
            <w:rFonts w:ascii="Cambria Math" w:eastAsia="Times New Roman" w:hAnsi="Cambria Math" w:cs="Arial"/>
          </w:rPr>
          <m:t>*∆Q</m:t>
        </m:r>
      </m:oMath>
      <w:r w:rsidR="00612282" w:rsidRPr="00763118">
        <w:rPr>
          <w:rFonts w:ascii="Arial" w:hAnsi="Arial" w:cs="Arial"/>
        </w:rPr>
        <w:t xml:space="preserve"> </w:t>
      </w:r>
      <w:proofErr w:type="gramStart"/>
      <w:r w:rsidR="00612282" w:rsidRPr="00763118">
        <w:rPr>
          <w:rFonts w:ascii="Arial" w:hAnsi="Arial" w:cs="Arial"/>
        </w:rPr>
        <w:t>represents</w:t>
      </w:r>
      <w:proofErr w:type="gramEnd"/>
      <w:r w:rsidR="00612282" w:rsidRPr="00763118">
        <w:rPr>
          <w:rFonts w:ascii="Arial" w:hAnsi="Arial" w:cs="Arial"/>
        </w:rPr>
        <w:t xml:space="preserve"> the scale effect. It expresses the variation of a country’s exports if it has varied with the world’s exports or the geographical area under study. The scale effect is explained by</w:t>
      </w:r>
      <w:r w:rsidR="00612282" w:rsidRPr="00763118">
        <w:rPr>
          <w:rFonts w:ascii="Arial" w:eastAsia="Times New Roman" w:hAnsi="Arial" w:cs="Arial"/>
        </w:rPr>
        <w:t xml:space="preserve"> </w:t>
      </w:r>
      <m:oMath>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0</m:t>
            </m:r>
          </m:sub>
        </m:sSub>
      </m:oMath>
      <w:r w:rsidR="004455CB" w:rsidRPr="004455CB">
        <w:rPr>
          <w:rFonts w:ascii="Arial" w:eastAsia="Times New Roman" w:hAnsi="Arial" w:cs="Arial"/>
        </w:rPr>
        <w:t xml:space="preserve"> =</w:t>
      </w:r>
      <w:r w:rsidR="00612282" w:rsidRPr="004455CB">
        <w:rPr>
          <w:rFonts w:ascii="Arial" w:eastAsia="Times New Roman" w:hAnsi="Arial" w:cs="Arial"/>
        </w:rPr>
        <w:t xml:space="preserve"> </w:t>
      </w:r>
      <m:oMath>
        <m:f>
          <m:fPr>
            <m:ctrlPr>
              <w:rPr>
                <w:rFonts w:ascii="Cambria Math" w:eastAsia="Times New Roman" w:hAnsi="Cambria Math" w:cs="Arial"/>
              </w:rPr>
            </m:ctrlPr>
          </m:fPr>
          <m:num>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0</m:t>
                </m:r>
              </m:sub>
            </m:sSub>
          </m:num>
          <m:den>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0</m:t>
                </m:r>
              </m:sub>
            </m:sSub>
          </m:den>
        </m:f>
      </m:oMath>
      <w:r w:rsidR="00612282" w:rsidRPr="004455CB">
        <w:rPr>
          <w:rFonts w:ascii="Arial" w:hAnsi="Arial" w:cs="Arial"/>
        </w:rPr>
        <w:t>,</w:t>
      </w:r>
      <w:r w:rsidR="00612282" w:rsidRPr="00763118">
        <w:rPr>
          <w:rFonts w:ascii="Arial" w:hAnsi="Arial" w:cs="Arial"/>
        </w:rPr>
        <w:t xml:space="preserve"> which expresses the share, by </w:t>
      </w:r>
      <w:proofErr w:type="spellStart"/>
      <w:r w:rsidR="00612282" w:rsidRPr="00763118">
        <w:rPr>
          <w:rFonts w:ascii="Arial" w:hAnsi="Arial" w:cs="Arial"/>
          <w:i/>
        </w:rPr>
        <w:t>i</w:t>
      </w:r>
      <w:proofErr w:type="spellEnd"/>
      <w:r w:rsidR="00612282" w:rsidRPr="00763118">
        <w:rPr>
          <w:rFonts w:ascii="Arial" w:hAnsi="Arial" w:cs="Arial"/>
          <w:i/>
        </w:rPr>
        <w:t xml:space="preserve"> </w:t>
      </w:r>
      <w:r w:rsidR="00612282" w:rsidRPr="00763118">
        <w:rPr>
          <w:rFonts w:ascii="Arial" w:hAnsi="Arial" w:cs="Arial"/>
        </w:rPr>
        <w:t xml:space="preserve">group of products, of Portugal/Poland exports for UE15 over the world imports of EU15 in the analyzed period, and by </w:t>
      </w:r>
      <m:oMath>
        <m:r>
          <m:rPr>
            <m:sty m:val="p"/>
          </m:rPr>
          <w:rPr>
            <w:rFonts w:ascii="Cambria Math" w:eastAsia="Times New Roman" w:hAnsi="Cambria Math" w:cs="Arial"/>
          </w:rPr>
          <m:t>∆Q</m:t>
        </m:r>
      </m:oMath>
      <w:r w:rsidR="00612282" w:rsidRPr="004455CB">
        <w:rPr>
          <w:rFonts w:ascii="Arial" w:eastAsia="Times New Roman" w:hAnsi="Arial" w:cs="Arial"/>
        </w:rPr>
        <w:t xml:space="preserve"> </w:t>
      </w:r>
      <m:oMath>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m:t>
            </m:r>
          </m:sub>
        </m:sSub>
        <m:r>
          <m:rPr>
            <m:sty m:val="p"/>
          </m:rPr>
          <w:rPr>
            <w:rFonts w:ascii="Cambria Math" w:eastAsia="Times New Roman" w:hAnsi="Cambria Math" w:cs="Arial"/>
          </w:rPr>
          <m:t>]</m:t>
        </m:r>
      </m:oMath>
      <w:r w:rsidR="00612282" w:rsidRPr="00763118">
        <w:rPr>
          <w:rFonts w:ascii="Arial" w:hAnsi="Arial" w:cs="Arial"/>
        </w:rPr>
        <w:t xml:space="preserve"> which, in turn, represents the difference of the total world imports from EU15 during the same period, by products group </w:t>
      </w:r>
      <w:proofErr w:type="spellStart"/>
      <w:r w:rsidR="00612282" w:rsidRPr="00763118">
        <w:rPr>
          <w:rFonts w:ascii="Arial" w:hAnsi="Arial" w:cs="Arial"/>
          <w:i/>
        </w:rPr>
        <w:t>i</w:t>
      </w:r>
      <w:proofErr w:type="spellEnd"/>
      <w:r w:rsidR="00612282" w:rsidRPr="00763118">
        <w:rPr>
          <w:rFonts w:ascii="Arial" w:hAnsi="Arial" w:cs="Arial"/>
        </w:rPr>
        <w:t xml:space="preserve">. The scale effect, therefore, allows </w:t>
      </w:r>
      <w:proofErr w:type="gramStart"/>
      <w:r w:rsidR="00612282" w:rsidRPr="00763118">
        <w:rPr>
          <w:rFonts w:ascii="Arial" w:hAnsi="Arial" w:cs="Arial"/>
        </w:rPr>
        <w:t>to understand</w:t>
      </w:r>
      <w:proofErr w:type="gramEnd"/>
      <w:r w:rsidR="00612282" w:rsidRPr="00763118">
        <w:rPr>
          <w:rFonts w:ascii="Arial" w:hAnsi="Arial" w:cs="Arial"/>
        </w:rPr>
        <w:t>, by difference with the total effect, if the exporting country has gain or lost market share to the trade partner. If the scale effect is greater than the total effect, there ha</w:t>
      </w:r>
      <w:r w:rsidR="00722091">
        <w:rPr>
          <w:rFonts w:ascii="Arial" w:hAnsi="Arial" w:cs="Arial"/>
        </w:rPr>
        <w:t>s been a loss of market share; i</w:t>
      </w:r>
      <w:r w:rsidR="00612282" w:rsidRPr="00763118">
        <w:rPr>
          <w:rFonts w:ascii="Arial" w:hAnsi="Arial" w:cs="Arial"/>
        </w:rPr>
        <w:t xml:space="preserve">f the scale effect is </w:t>
      </w:r>
      <w:r w:rsidR="00722091">
        <w:rPr>
          <w:rFonts w:ascii="Arial" w:hAnsi="Arial" w:cs="Arial"/>
        </w:rPr>
        <w:t>smaller than the total effect (a</w:t>
      </w:r>
      <w:r w:rsidR="00612282" w:rsidRPr="00763118">
        <w:rPr>
          <w:rFonts w:ascii="Arial" w:hAnsi="Arial" w:cs="Arial"/>
        </w:rPr>
        <w:t xml:space="preserve">s the variation of exports has </w:t>
      </w:r>
      <w:r w:rsidR="00612282" w:rsidRPr="00763118">
        <w:rPr>
          <w:rFonts w:ascii="Arial" w:hAnsi="Arial" w:cs="Arial"/>
        </w:rPr>
        <w:lastRenderedPageBreak/>
        <w:t>been greater than the variation of exports assumed with initial global market share and the world variation) then there has been as gain of market share.</w:t>
      </w:r>
    </w:p>
    <w:p w:rsidR="00612282" w:rsidRPr="00763118" w:rsidRDefault="00612282" w:rsidP="004455CB">
      <w:pPr>
        <w:spacing w:after="0" w:line="240" w:lineRule="auto"/>
        <w:ind w:firstLine="567"/>
        <w:jc w:val="both"/>
        <w:rPr>
          <w:rFonts w:ascii="Arial" w:hAnsi="Arial" w:cs="Arial"/>
        </w:rPr>
      </w:pPr>
      <w:r w:rsidRPr="00763118">
        <w:rPr>
          <w:rFonts w:ascii="Arial" w:hAnsi="Arial" w:cs="Arial"/>
        </w:rPr>
        <w:t xml:space="preserve">The product effect is represented </w:t>
      </w:r>
      <w:proofErr w:type="gramStart"/>
      <w:r w:rsidRPr="00763118">
        <w:rPr>
          <w:rFonts w:ascii="Arial" w:hAnsi="Arial" w:cs="Arial"/>
        </w:rPr>
        <w:t xml:space="preserve">by </w:t>
      </w:r>
      <m:oMath>
        <w:proofErr w:type="gramEnd"/>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i0</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0</m:t>
            </m:r>
          </m:sub>
        </m:sSub>
        <m:r>
          <m:rPr>
            <m:sty m:val="p"/>
          </m:rPr>
          <w:rPr>
            <w:rFonts w:ascii="Cambria Math" w:eastAsia="Times New Roman" w:hAnsi="Cambria Math" w:cs="Arial"/>
          </w:rPr>
          <m:t>*∆Q</m:t>
        </m:r>
      </m:oMath>
      <w:r w:rsidRPr="004455CB">
        <w:rPr>
          <w:rFonts w:ascii="Arial" w:hAnsi="Arial" w:cs="Arial"/>
        </w:rPr>
        <w:t>.</w:t>
      </w:r>
      <w:r w:rsidRPr="00763118">
        <w:rPr>
          <w:rFonts w:ascii="Arial" w:hAnsi="Arial" w:cs="Arial"/>
        </w:rPr>
        <w:t xml:space="preserve"> It is indicates if specializing in a particular product has a positive effect on export growth. If the value is positive, it means that the specialization in one or more products is beneficial to the exports growth. Product effect </w:t>
      </w:r>
      <w:proofErr w:type="gramStart"/>
      <w:r w:rsidRPr="00763118">
        <w:rPr>
          <w:rFonts w:ascii="Arial" w:hAnsi="Arial" w:cs="Arial"/>
        </w:rPr>
        <w:t xml:space="preserve">includes </w:t>
      </w:r>
      <m:oMath>
        <w:proofErr w:type="gramEnd"/>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i0</m:t>
            </m:r>
          </m:sub>
        </m:sSub>
        <m:r>
          <m:rPr>
            <m:sty m:val="p"/>
          </m:rPr>
          <w:rPr>
            <w:rFonts w:ascii="Cambria Math" w:eastAsia="Times New Roman" w:hAnsi="Cambria Math" w:cs="Arial"/>
          </w:rPr>
          <m:t>=</m:t>
        </m:r>
        <m:f>
          <m:fPr>
            <m:ctrlPr>
              <w:rPr>
                <w:rFonts w:ascii="Cambria Math" w:eastAsia="Times New Roman" w:hAnsi="Cambria Math" w:cs="Arial"/>
              </w:rPr>
            </m:ctrlPr>
          </m:fPr>
          <m:num>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i0</m:t>
                </m:r>
              </m:sub>
            </m:sSub>
          </m:num>
          <m:den>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i0</m:t>
                </m:r>
              </m:sub>
            </m:sSub>
          </m:den>
        </m:f>
      </m:oMath>
      <w:r w:rsidRPr="004455CB">
        <w:rPr>
          <w:rFonts w:ascii="Arial" w:hAnsi="Arial" w:cs="Arial"/>
        </w:rPr>
        <w:t>, wh</w:t>
      </w:r>
      <w:proofErr w:type="spellStart"/>
      <w:r w:rsidRPr="00763118">
        <w:rPr>
          <w:rFonts w:ascii="Arial" w:hAnsi="Arial" w:cs="Arial"/>
        </w:rPr>
        <w:t>ich</w:t>
      </w:r>
      <w:proofErr w:type="spellEnd"/>
      <w:r w:rsidRPr="00763118">
        <w:rPr>
          <w:rFonts w:ascii="Arial" w:hAnsi="Arial" w:cs="Arial"/>
        </w:rPr>
        <w:t xml:space="preserve"> represents the share, by product</w:t>
      </w:r>
      <w:r w:rsidRPr="00763118">
        <w:rPr>
          <w:rFonts w:ascii="Arial" w:hAnsi="Arial" w:cs="Arial"/>
          <w:i/>
        </w:rPr>
        <w:t xml:space="preserve"> </w:t>
      </w:r>
      <w:proofErr w:type="spellStart"/>
      <w:r w:rsidRPr="00763118">
        <w:rPr>
          <w:rFonts w:ascii="Arial" w:hAnsi="Arial" w:cs="Arial"/>
          <w:i/>
        </w:rPr>
        <w:t>i</w:t>
      </w:r>
      <w:proofErr w:type="spellEnd"/>
      <w:r w:rsidRPr="00763118">
        <w:rPr>
          <w:rFonts w:ascii="Arial" w:hAnsi="Arial" w:cs="Arial"/>
        </w:rPr>
        <w:t xml:space="preserve">, of Portugal/Poland exports to EU15 over the total world imports of UE15, in the beginning of the analyzed period as well as </w:t>
      </w:r>
      <m:oMath>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 xml:space="preserve">i </m:t>
            </m:r>
          </m:sub>
        </m:sSub>
      </m:oMath>
      <w:r w:rsidRPr="00763118">
        <w:rPr>
          <w:rFonts w:ascii="Arial" w:hAnsi="Arial" w:cs="Arial"/>
        </w:rPr>
        <w:t xml:space="preserve">, which is the difference of the total world imports to the EU15 during the referred period, by product </w:t>
      </w:r>
      <w:proofErr w:type="spellStart"/>
      <w:r w:rsidRPr="00763118">
        <w:rPr>
          <w:rFonts w:ascii="Arial" w:hAnsi="Arial" w:cs="Arial"/>
          <w:i/>
        </w:rPr>
        <w:t>i</w:t>
      </w:r>
      <w:proofErr w:type="spellEnd"/>
      <w:r w:rsidRPr="00763118">
        <w:rPr>
          <w:rFonts w:ascii="Arial" w:hAnsi="Arial" w:cs="Arial"/>
        </w:rPr>
        <w:t xml:space="preserve">. </w:t>
      </w:r>
    </w:p>
    <w:p w:rsidR="00612282" w:rsidRPr="00763118" w:rsidRDefault="00612282" w:rsidP="004455CB">
      <w:pPr>
        <w:tabs>
          <w:tab w:val="left" w:pos="426"/>
        </w:tabs>
        <w:spacing w:after="0" w:line="240" w:lineRule="auto"/>
        <w:ind w:firstLine="567"/>
        <w:jc w:val="both"/>
        <w:rPr>
          <w:rFonts w:ascii="Arial" w:hAnsi="Arial" w:cs="Arial"/>
        </w:rPr>
      </w:pPr>
      <w:r w:rsidRPr="00763118">
        <w:rPr>
          <w:rFonts w:ascii="Arial" w:hAnsi="Arial" w:cs="Arial"/>
        </w:rPr>
        <w:t xml:space="preserve">Market effect indicates whether or not the destination market positively affects the export growth. In this regard, it is required to multiply the total exports of each good from the country to be studied to the destination market (or the world total exports of the same good to that market) by the difference of world exports, in a given period, of each good to the destination market. It is captured by </w:t>
      </w:r>
      <m:oMath>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ij0</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i0</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m:t>
            </m:r>
          </m:sub>
        </m:sSub>
        <m:r>
          <m:rPr>
            <m:sty m:val="p"/>
          </m:rPr>
          <w:rPr>
            <w:rFonts w:ascii="Cambria Math" w:eastAsia="Times New Roman" w:hAnsi="Cambria Math" w:cs="Arial"/>
          </w:rPr>
          <m:t>)</m:t>
        </m:r>
      </m:oMath>
      <w:r w:rsidRPr="00B81348">
        <w:rPr>
          <w:rFonts w:ascii="Arial" w:hAnsi="Arial" w:cs="Arial"/>
        </w:rPr>
        <w:t>,</w:t>
      </w:r>
      <w:r w:rsidRPr="00763118">
        <w:rPr>
          <w:rFonts w:ascii="Arial" w:hAnsi="Arial" w:cs="Arial"/>
        </w:rPr>
        <w:t xml:space="preserve"> where </w:t>
      </w:r>
      <m:oMath>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ij0</m:t>
            </m:r>
          </m:sub>
        </m:sSub>
        <m:r>
          <m:rPr>
            <m:sty m:val="p"/>
          </m:rPr>
          <w:rPr>
            <w:rFonts w:ascii="Cambria Math" w:eastAsia="Times New Roman" w:hAnsi="Cambria Math" w:cs="Arial"/>
          </w:rPr>
          <m:t>=</m:t>
        </m:r>
        <m:f>
          <m:fPr>
            <m:ctrlPr>
              <w:rPr>
                <w:rFonts w:ascii="Cambria Math" w:eastAsia="Times New Roman" w:hAnsi="Cambria Math" w:cs="Arial"/>
              </w:rPr>
            </m:ctrlPr>
          </m:fPr>
          <m:num>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ij0</m:t>
                </m:r>
              </m:sub>
            </m:sSub>
          </m:num>
          <m:den>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ij0</m:t>
                </m:r>
              </m:sub>
            </m:sSub>
          </m:den>
        </m:f>
      </m:oMath>
      <w:r w:rsidRPr="00763118">
        <w:rPr>
          <w:rFonts w:ascii="Arial" w:hAnsi="Arial" w:cs="Arial"/>
        </w:rPr>
        <w:t xml:space="preserve"> represents the share, by product </w:t>
      </w:r>
      <w:proofErr w:type="spellStart"/>
      <w:r w:rsidRPr="00763118">
        <w:rPr>
          <w:rFonts w:ascii="Arial" w:hAnsi="Arial" w:cs="Arial"/>
          <w:i/>
        </w:rPr>
        <w:t>i</w:t>
      </w:r>
      <w:proofErr w:type="spellEnd"/>
      <w:r w:rsidRPr="00763118">
        <w:rPr>
          <w:rFonts w:ascii="Arial" w:hAnsi="Arial" w:cs="Arial"/>
        </w:rPr>
        <w:t>,</w:t>
      </w:r>
      <w:r w:rsidRPr="00763118">
        <w:rPr>
          <w:rFonts w:ascii="Arial" w:hAnsi="Arial" w:cs="Arial"/>
          <w:i/>
        </w:rPr>
        <w:t xml:space="preserve"> </w:t>
      </w:r>
      <w:r w:rsidRPr="00763118">
        <w:rPr>
          <w:rFonts w:ascii="Arial" w:hAnsi="Arial" w:cs="Arial"/>
        </w:rPr>
        <w:t xml:space="preserve">of Portugal/Poland exports for each country included in EU15 over the total world imports made by those countries, in the beginning of the analyzed period and </w:t>
      </w:r>
      <m:oMath>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m:t>
            </m:r>
          </m:sub>
        </m:sSub>
      </m:oMath>
      <w:r w:rsidRPr="00B81348">
        <w:rPr>
          <w:rFonts w:ascii="Arial" w:hAnsi="Arial" w:cs="Arial"/>
        </w:rPr>
        <w:t>,</w:t>
      </w:r>
      <w:r w:rsidRPr="00763118">
        <w:rPr>
          <w:rFonts w:ascii="Arial" w:hAnsi="Arial" w:cs="Arial"/>
        </w:rPr>
        <w:t xml:space="preserve"> which expresses the difference of the total world imports of each country EU15 during the analyzed period , by product </w:t>
      </w:r>
      <w:proofErr w:type="spellStart"/>
      <w:r w:rsidRPr="00763118">
        <w:rPr>
          <w:rFonts w:ascii="Arial" w:hAnsi="Arial" w:cs="Arial"/>
          <w:i/>
        </w:rPr>
        <w:t>i</w:t>
      </w:r>
      <w:proofErr w:type="spellEnd"/>
      <w:r w:rsidRPr="00763118">
        <w:rPr>
          <w:rFonts w:ascii="Arial" w:hAnsi="Arial" w:cs="Arial"/>
        </w:rPr>
        <w:t>.</w:t>
      </w:r>
    </w:p>
    <w:p w:rsidR="00612282" w:rsidRPr="00763118" w:rsidRDefault="00612282" w:rsidP="004455CB">
      <w:pPr>
        <w:tabs>
          <w:tab w:val="left" w:pos="426"/>
        </w:tabs>
        <w:spacing w:after="0" w:line="240" w:lineRule="auto"/>
        <w:ind w:firstLine="567"/>
        <w:jc w:val="both"/>
        <w:rPr>
          <w:rFonts w:ascii="Arial" w:hAnsi="Arial" w:cs="Arial"/>
        </w:rPr>
      </w:pPr>
      <w:r w:rsidRPr="00763118">
        <w:rPr>
          <w:rFonts w:ascii="Arial" w:hAnsi="Arial" w:cs="Arial"/>
        </w:rPr>
        <w:tab/>
        <w:t xml:space="preserve">Finally, the residual effect, that is the competitiveness effect, is represented by </w:t>
      </w:r>
      <m:oMath>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ij</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ij1</m:t>
            </m:r>
          </m:sub>
        </m:sSub>
      </m:oMath>
      <w:r w:rsidRPr="00763118">
        <w:rPr>
          <w:rFonts w:ascii="Arial" w:hAnsi="Arial" w:cs="Arial"/>
        </w:rPr>
        <w:t xml:space="preserve">, where </w:t>
      </w:r>
      <m:oMath>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 xml:space="preserve">ij </m:t>
            </m:r>
          </m:sub>
        </m:sSub>
      </m:oMath>
      <w:r w:rsidRPr="00763118">
        <w:rPr>
          <w:rFonts w:ascii="Arial" w:hAnsi="Arial" w:cs="Arial"/>
        </w:rPr>
        <w:t xml:space="preserve"> is the difference, by product </w:t>
      </w:r>
      <w:proofErr w:type="spellStart"/>
      <w:r w:rsidRPr="00763118">
        <w:rPr>
          <w:rFonts w:ascii="Arial" w:hAnsi="Arial" w:cs="Arial"/>
          <w:i/>
        </w:rPr>
        <w:t>i</w:t>
      </w:r>
      <w:proofErr w:type="spellEnd"/>
      <w:r w:rsidRPr="00763118">
        <w:rPr>
          <w:rFonts w:ascii="Arial" w:hAnsi="Arial" w:cs="Arial"/>
        </w:rPr>
        <w:t xml:space="preserve">, of Portugal/Poland exports to each country of the EU15 over the world imports of those countries at the end of the period with the Portugal/Poland exports to each country of the EU15 over the world imports of each country of the EU15 in the beginning of each period, by product </w:t>
      </w:r>
      <w:proofErr w:type="spellStart"/>
      <w:r w:rsidRPr="00763118">
        <w:rPr>
          <w:rFonts w:ascii="Arial" w:hAnsi="Arial" w:cs="Arial"/>
          <w:i/>
        </w:rPr>
        <w:t>i</w:t>
      </w:r>
      <w:proofErr w:type="spellEnd"/>
      <w:r w:rsidRPr="00763118">
        <w:rPr>
          <w:rFonts w:ascii="Arial" w:hAnsi="Arial" w:cs="Arial"/>
        </w:rPr>
        <w:t xml:space="preserve">, and, that represents the value of the world imports of each EU15 country in the end of the analyzed period, by product </w:t>
      </w:r>
      <w:proofErr w:type="spellStart"/>
      <w:r w:rsidRPr="00763118">
        <w:rPr>
          <w:rFonts w:ascii="Arial" w:hAnsi="Arial" w:cs="Arial"/>
          <w:i/>
        </w:rPr>
        <w:t>i</w:t>
      </w:r>
      <w:proofErr w:type="spellEnd"/>
      <w:r w:rsidRPr="00763118">
        <w:rPr>
          <w:rFonts w:ascii="Arial" w:hAnsi="Arial" w:cs="Arial"/>
        </w:rPr>
        <w:t xml:space="preserve">. As the competitiveness effect is the difference between market share in the beginning period and the final period, by product </w:t>
      </w:r>
      <w:proofErr w:type="spellStart"/>
      <w:r w:rsidRPr="00763118">
        <w:rPr>
          <w:rFonts w:ascii="Arial" w:hAnsi="Arial" w:cs="Arial"/>
          <w:i/>
        </w:rPr>
        <w:t>i</w:t>
      </w:r>
      <w:proofErr w:type="spellEnd"/>
      <w:r w:rsidRPr="00763118">
        <w:rPr>
          <w:rFonts w:ascii="Arial" w:hAnsi="Arial" w:cs="Arial"/>
          <w:i/>
        </w:rPr>
        <w:t xml:space="preserve"> </w:t>
      </w:r>
      <w:r w:rsidRPr="00763118">
        <w:rPr>
          <w:rFonts w:ascii="Arial" w:hAnsi="Arial" w:cs="Arial"/>
        </w:rPr>
        <w:t xml:space="preserve">and EU15 country </w:t>
      </w:r>
      <w:r w:rsidRPr="00763118">
        <w:rPr>
          <w:rFonts w:ascii="Arial" w:hAnsi="Arial" w:cs="Arial"/>
          <w:i/>
        </w:rPr>
        <w:t>j</w:t>
      </w:r>
      <w:r w:rsidRPr="00763118">
        <w:rPr>
          <w:rFonts w:ascii="Arial" w:hAnsi="Arial" w:cs="Arial"/>
        </w:rPr>
        <w:t xml:space="preserve">, multiplied by the world’s exports by product </w:t>
      </w:r>
      <w:proofErr w:type="spellStart"/>
      <w:r w:rsidRPr="00763118">
        <w:rPr>
          <w:rFonts w:ascii="Arial" w:hAnsi="Arial" w:cs="Arial"/>
          <w:i/>
        </w:rPr>
        <w:t>i</w:t>
      </w:r>
      <w:proofErr w:type="spellEnd"/>
      <w:r w:rsidRPr="00763118">
        <w:rPr>
          <w:rFonts w:ascii="Arial" w:hAnsi="Arial" w:cs="Arial"/>
        </w:rPr>
        <w:t xml:space="preserve"> and countr</w:t>
      </w:r>
      <w:r w:rsidR="00722091">
        <w:rPr>
          <w:rFonts w:ascii="Arial" w:hAnsi="Arial" w:cs="Arial"/>
        </w:rPr>
        <w:t>y j in the final period, it</w:t>
      </w:r>
      <w:r w:rsidRPr="00763118">
        <w:rPr>
          <w:rFonts w:ascii="Arial" w:hAnsi="Arial" w:cs="Arial"/>
        </w:rPr>
        <w:t xml:space="preserve"> mean this effect will be negati</w:t>
      </w:r>
      <w:r w:rsidR="00722091">
        <w:rPr>
          <w:rFonts w:ascii="Arial" w:hAnsi="Arial" w:cs="Arial"/>
        </w:rPr>
        <w:t>ve if the total effect is smaller</w:t>
      </w:r>
      <w:r w:rsidRPr="00763118">
        <w:rPr>
          <w:rFonts w:ascii="Arial" w:hAnsi="Arial" w:cs="Arial"/>
        </w:rPr>
        <w:t xml:space="preserve"> than the sum of the other effects and positive if the total effect is greater than the sum of the other effects - as the variation in the country’s exports are not accompanied by the variation of markets that compose the destiny market and products discriminated in each group (the sum of the scale, product and market effects). In other words </w:t>
      </w:r>
      <m:oMath>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ij</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ij1</m:t>
            </m:r>
          </m:sub>
        </m:sSub>
        <m:r>
          <m:rPr>
            <m:sty m:val="p"/>
          </m:rPr>
          <w:rPr>
            <w:rFonts w:ascii="Cambria Math" w:eastAsia="Times New Roman" w:hAnsi="Cambria Math" w:cs="Arial"/>
          </w:rPr>
          <m:t xml:space="preserve">)= </m:t>
        </m:r>
        <m:r>
          <m:rPr>
            <m:sty m:val="p"/>
          </m:rPr>
          <w:rPr>
            <w:rFonts w:ascii="Cambria Math" w:hAnsi="Cambria Math" w:cs="Arial"/>
          </w:rPr>
          <m:t>∆q</m:t>
        </m:r>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i</m:t>
            </m:r>
          </m:sub>
        </m:sSub>
        <m:sSub>
          <m:sSubPr>
            <m:ctrlPr>
              <w:rPr>
                <w:rFonts w:ascii="Cambria Math" w:eastAsia="Times New Roman" w:hAnsi="Cambria Math" w:cs="Arial"/>
              </w:rPr>
            </m:ctrlPr>
          </m:sSubPr>
          <m:e>
            <m:r>
              <m:rPr>
                <m:sty m:val="p"/>
              </m:rPr>
              <w:rPr>
                <w:rFonts w:ascii="Cambria Math" w:eastAsia="Times New Roman" w:hAnsi="Cambria Math" w:cs="Arial"/>
              </w:rPr>
              <m:t>Σ</m:t>
            </m:r>
          </m:e>
          <m:sub>
            <m:r>
              <m:rPr>
                <m:sty m:val="p"/>
              </m:rPr>
              <w:rPr>
                <w:rFonts w:ascii="Cambria Math" w:eastAsia="Times New Roman" w:hAnsi="Cambria Math" w:cs="Arial"/>
              </w:rPr>
              <m:t>j</m:t>
            </m:r>
          </m:sub>
        </m:sSub>
        <m:sSub>
          <m:sSubPr>
            <m:ctrlPr>
              <w:rPr>
                <w:rFonts w:ascii="Cambria Math" w:eastAsia="Times New Roman" w:hAnsi="Cambria Math" w:cs="Arial"/>
              </w:rPr>
            </m:ctrlPr>
          </m:sSubPr>
          <m:e>
            <m:r>
              <m:rPr>
                <m:sty m:val="p"/>
              </m:rPr>
              <w:rPr>
                <w:rFonts w:ascii="Cambria Math" w:eastAsia="Times New Roman" w:hAnsi="Cambria Math" w:cs="Arial"/>
              </w:rPr>
              <m:t>(S</m:t>
            </m:r>
          </m:e>
          <m:sub>
            <m:r>
              <m:rPr>
                <m:sty m:val="p"/>
              </m:rPr>
              <w:rPr>
                <w:rFonts w:ascii="Cambria Math" w:eastAsia="Times New Roman" w:hAnsi="Cambria Math" w:cs="Arial"/>
              </w:rPr>
              <m:t>ij0</m:t>
            </m:r>
          </m:sub>
        </m:sSub>
        <m:r>
          <m:rPr>
            <m:sty m:val="p"/>
          </m:rPr>
          <w:rPr>
            <w:rFonts w:ascii="Cambria Math" w:eastAsia="Times New Roman" w:hAnsi="Cambria Math" w:cs="Arial"/>
          </w:rPr>
          <m:t>*</m:t>
        </m:r>
        <m:sSub>
          <m:sSubPr>
            <m:ctrlPr>
              <w:rPr>
                <w:rFonts w:ascii="Cambria Math" w:eastAsia="Times New Roman" w:hAnsi="Cambria Math" w:cs="Arial"/>
              </w:rPr>
            </m:ctrlPr>
          </m:sSubPr>
          <m:e>
            <m:r>
              <m:rPr>
                <m:sty m:val="p"/>
              </m:rPr>
              <w:rPr>
                <w:rFonts w:ascii="Cambria Math" w:eastAsia="Times New Roman" w:hAnsi="Cambria Math" w:cs="Arial"/>
              </w:rPr>
              <m:t>∆Q</m:t>
            </m:r>
          </m:e>
          <m:sub>
            <m:r>
              <m:rPr>
                <m:sty m:val="p"/>
              </m:rPr>
              <w:rPr>
                <w:rFonts w:ascii="Cambria Math" w:eastAsia="Times New Roman" w:hAnsi="Cambria Math" w:cs="Arial"/>
              </w:rPr>
              <m:t>ij</m:t>
            </m:r>
          </m:sub>
        </m:sSub>
        <m:r>
          <m:rPr>
            <m:sty m:val="p"/>
          </m:rPr>
          <w:rPr>
            <w:rFonts w:ascii="Cambria Math" w:eastAsia="Times New Roman" w:hAnsi="Cambria Math" w:cs="Arial"/>
          </w:rPr>
          <m:t>)</m:t>
        </m:r>
      </m:oMath>
      <w:r w:rsidRPr="00B81348">
        <w:rPr>
          <w:rFonts w:ascii="Arial" w:hAnsi="Arial" w:cs="Arial"/>
        </w:rPr>
        <w:t>.</w:t>
      </w:r>
      <w:r w:rsidRPr="00763118">
        <w:rPr>
          <w:rFonts w:ascii="Arial" w:hAnsi="Arial" w:cs="Arial"/>
        </w:rPr>
        <w:t>Therefore, it is assumed, in the residual term, that if the phenomenon cannot be explained by the previous effects, it is explained by the competitiveness level. This represents a part of the exports growth, which results from the productive efficiency of the country (Coutinho &amp; Fontoura, 2012)</w:t>
      </w:r>
      <w:r w:rsidR="00B81348">
        <w:rPr>
          <w:rFonts w:ascii="Arial" w:hAnsi="Arial" w:cs="Arial"/>
        </w:rPr>
        <w:t>.</w:t>
      </w:r>
    </w:p>
    <w:p w:rsidR="00B81348" w:rsidRDefault="00612282" w:rsidP="00B81348">
      <w:pPr>
        <w:tabs>
          <w:tab w:val="left" w:pos="426"/>
        </w:tabs>
        <w:spacing w:after="0" w:line="240" w:lineRule="auto"/>
        <w:ind w:firstLine="567"/>
        <w:jc w:val="both"/>
        <w:rPr>
          <w:rFonts w:ascii="Arial" w:hAnsi="Arial" w:cs="Arial"/>
        </w:rPr>
      </w:pPr>
      <w:r w:rsidRPr="00763118">
        <w:rPr>
          <w:rFonts w:ascii="Arial" w:hAnsi="Arial" w:cs="Arial"/>
        </w:rPr>
        <w:tab/>
        <w:t xml:space="preserve">Despite the high level of application, there are still some limitations that must be referred. The residual factor, related to competitiveness, expresses the influence of prices and “volume competition” in exports </w:t>
      </w:r>
      <w:proofErr w:type="gramStart"/>
      <w:r w:rsidRPr="00763118">
        <w:rPr>
          <w:rFonts w:ascii="Arial" w:hAnsi="Arial" w:cs="Arial"/>
        </w:rPr>
        <w:t>variation,</w:t>
      </w:r>
      <w:proofErr w:type="gramEnd"/>
      <w:r w:rsidRPr="00763118">
        <w:rPr>
          <w:rFonts w:ascii="Arial" w:hAnsi="Arial" w:cs="Arial"/>
        </w:rPr>
        <w:t xml:space="preserve"> nevertheless it is not possible to distinguish the influence of each of them. The identity is also sensitive to the levels of disaggregation, to the period and to the geographical group. At last, the terms of the formula are randomly chosen: part of the product effect is subtracted to the market’s effect, but if it was used a similar term, the sum of the other two would not change, although the individual results were differe</w:t>
      </w:r>
      <w:r w:rsidR="00B81348">
        <w:rPr>
          <w:rFonts w:ascii="Arial" w:hAnsi="Arial" w:cs="Arial"/>
        </w:rPr>
        <w:t>nt (Coutinho &amp; Fontoura, 2012).</w:t>
      </w:r>
    </w:p>
    <w:p w:rsidR="00B81348" w:rsidRPr="00B81348" w:rsidRDefault="00B81348" w:rsidP="00B81348">
      <w:pPr>
        <w:tabs>
          <w:tab w:val="left" w:pos="426"/>
        </w:tabs>
        <w:spacing w:before="220" w:after="220" w:line="240" w:lineRule="auto"/>
        <w:jc w:val="both"/>
        <w:rPr>
          <w:rFonts w:ascii="Arial" w:hAnsi="Arial" w:cs="Arial"/>
          <w:b/>
        </w:rPr>
      </w:pPr>
      <w:r w:rsidRPr="00B81348">
        <w:rPr>
          <w:rFonts w:ascii="Arial" w:hAnsi="Arial" w:cs="Arial"/>
          <w:b/>
        </w:rPr>
        <w:t>COMPLEMENTARITY AND GEOGRAPHICAL BIAS</w:t>
      </w:r>
    </w:p>
    <w:p w:rsidR="0087209C" w:rsidRPr="00763118" w:rsidRDefault="00730594" w:rsidP="004455CB">
      <w:pPr>
        <w:spacing w:after="0" w:line="240" w:lineRule="auto"/>
        <w:ind w:firstLine="567"/>
        <w:jc w:val="both"/>
        <w:rPr>
          <w:rFonts w:ascii="Arial" w:hAnsi="Arial" w:cs="Arial"/>
        </w:rPr>
      </w:pPr>
      <w:r w:rsidRPr="00763118">
        <w:rPr>
          <w:rFonts w:ascii="Arial" w:hAnsi="Arial" w:cs="Arial"/>
          <w:lang w:val="en-GB"/>
        </w:rPr>
        <w:t xml:space="preserve">In addition to </w:t>
      </w:r>
      <w:r w:rsidR="00F649BC" w:rsidRPr="00763118">
        <w:rPr>
          <w:rFonts w:ascii="Arial" w:hAnsi="Arial" w:cs="Arial"/>
          <w:lang w:val="en-GB"/>
        </w:rPr>
        <w:t xml:space="preserve">the CMS </w:t>
      </w:r>
      <w:r w:rsidR="00181BD8">
        <w:rPr>
          <w:rFonts w:ascii="Arial" w:hAnsi="Arial" w:cs="Arial"/>
          <w:lang w:val="en-GB"/>
        </w:rPr>
        <w:t xml:space="preserve">analysis, </w:t>
      </w:r>
      <w:r w:rsidR="00F649BC" w:rsidRPr="00763118">
        <w:rPr>
          <w:rFonts w:ascii="Arial" w:hAnsi="Arial" w:cs="Arial"/>
          <w:lang w:val="en-GB"/>
        </w:rPr>
        <w:t>we have also adopted a</w:t>
      </w:r>
      <w:r w:rsidRPr="00763118">
        <w:rPr>
          <w:rFonts w:ascii="Arial" w:hAnsi="Arial" w:cs="Arial"/>
          <w:lang w:val="en-GB"/>
        </w:rPr>
        <w:t xml:space="preserve"> methodology proposed by Castilho (2003) which combines an analysis based on the revealed comparative advantage indexes with a “geogr</w:t>
      </w:r>
      <w:r w:rsidR="00C23D79" w:rsidRPr="00763118">
        <w:rPr>
          <w:rFonts w:ascii="Arial" w:hAnsi="Arial" w:cs="Arial"/>
          <w:lang w:val="en-GB"/>
        </w:rPr>
        <w:t>aphic orientation” dimension. It</w:t>
      </w:r>
      <w:r w:rsidRPr="00763118">
        <w:rPr>
          <w:rFonts w:ascii="Arial" w:hAnsi="Arial" w:cs="Arial"/>
          <w:lang w:val="en-GB"/>
        </w:rPr>
        <w:t xml:space="preserve"> also provides</w:t>
      </w:r>
      <w:r w:rsidR="00C23D79" w:rsidRPr="00763118">
        <w:rPr>
          <w:rFonts w:ascii="Arial" w:hAnsi="Arial" w:cs="Arial"/>
          <w:lang w:val="en-GB"/>
        </w:rPr>
        <w:t xml:space="preserve"> information on the product groups</w:t>
      </w:r>
      <w:r w:rsidRPr="00763118">
        <w:rPr>
          <w:rFonts w:ascii="Arial" w:hAnsi="Arial" w:cs="Arial"/>
          <w:lang w:val="en-GB"/>
        </w:rPr>
        <w:t xml:space="preserve"> with trade potential in the EU15 market. The methodology is based in two indexes, the </w:t>
      </w:r>
      <w:r w:rsidRPr="00763118">
        <w:rPr>
          <w:rFonts w:ascii="Arial" w:hAnsi="Arial" w:cs="Arial"/>
          <w:i/>
          <w:lang w:val="en-GB"/>
        </w:rPr>
        <w:t xml:space="preserve">Trade </w:t>
      </w:r>
      <w:proofErr w:type="spellStart"/>
      <w:r w:rsidRPr="00763118">
        <w:rPr>
          <w:rFonts w:ascii="Arial" w:hAnsi="Arial" w:cs="Arial"/>
          <w:i/>
          <w:lang w:val="en-GB"/>
        </w:rPr>
        <w:t>Complementarity</w:t>
      </w:r>
      <w:proofErr w:type="spellEnd"/>
      <w:r w:rsidRPr="00763118">
        <w:rPr>
          <w:rFonts w:ascii="Arial" w:hAnsi="Arial" w:cs="Arial"/>
          <w:i/>
          <w:lang w:val="en-GB"/>
        </w:rPr>
        <w:t xml:space="preserve"> Index</w:t>
      </w:r>
      <w:r w:rsidRPr="00763118">
        <w:rPr>
          <w:rFonts w:ascii="Arial" w:hAnsi="Arial" w:cs="Arial"/>
          <w:lang w:val="en-GB"/>
        </w:rPr>
        <w:t xml:space="preserve"> (TCI) and the</w:t>
      </w:r>
      <w:r w:rsidRPr="00763118">
        <w:rPr>
          <w:rStyle w:val="hps"/>
          <w:rFonts w:ascii="Arial" w:hAnsi="Arial" w:cs="Arial"/>
          <w:lang w:val="en-GB"/>
        </w:rPr>
        <w:t xml:space="preserve"> </w:t>
      </w:r>
      <w:r w:rsidRPr="00763118">
        <w:rPr>
          <w:rStyle w:val="hps"/>
          <w:rFonts w:ascii="Arial" w:hAnsi="Arial" w:cs="Arial"/>
          <w:i/>
          <w:lang w:val="en-GB"/>
        </w:rPr>
        <w:t>Geographical Orientation Index</w:t>
      </w:r>
      <w:r w:rsidRPr="00763118">
        <w:rPr>
          <w:rStyle w:val="hps"/>
          <w:rFonts w:ascii="Arial" w:hAnsi="Arial" w:cs="Arial"/>
          <w:lang w:val="en-GB"/>
        </w:rPr>
        <w:t xml:space="preserve"> (GOI)</w:t>
      </w:r>
      <w:r w:rsidRPr="00763118">
        <w:rPr>
          <w:rFonts w:ascii="Arial" w:hAnsi="Arial" w:cs="Arial"/>
          <w:lang w:val="en-GB"/>
        </w:rPr>
        <w:t>.</w:t>
      </w:r>
    </w:p>
    <w:p w:rsidR="00730594" w:rsidRPr="00763118" w:rsidRDefault="0087209C" w:rsidP="004455CB">
      <w:pPr>
        <w:spacing w:after="0" w:line="240" w:lineRule="auto"/>
        <w:ind w:firstLine="567"/>
        <w:jc w:val="both"/>
        <w:rPr>
          <w:rFonts w:ascii="Arial" w:hAnsi="Arial" w:cs="Arial"/>
        </w:rPr>
      </w:pPr>
      <w:r w:rsidRPr="00763118">
        <w:rPr>
          <w:rFonts w:ascii="Arial" w:hAnsi="Arial" w:cs="Arial"/>
        </w:rPr>
        <w:tab/>
        <w:t>The T</w:t>
      </w:r>
      <w:r w:rsidR="00D12418" w:rsidRPr="00763118">
        <w:rPr>
          <w:rFonts w:ascii="Arial" w:hAnsi="Arial" w:cs="Arial"/>
        </w:rPr>
        <w:t xml:space="preserve">rade </w:t>
      </w:r>
      <w:r w:rsidRPr="00763118">
        <w:rPr>
          <w:rFonts w:ascii="Arial" w:hAnsi="Arial" w:cs="Arial"/>
        </w:rPr>
        <w:t>C</w:t>
      </w:r>
      <w:r w:rsidR="00D12418" w:rsidRPr="00763118">
        <w:rPr>
          <w:rFonts w:ascii="Arial" w:hAnsi="Arial" w:cs="Arial"/>
        </w:rPr>
        <w:t xml:space="preserve">omplementary </w:t>
      </w:r>
      <w:r w:rsidRPr="00763118">
        <w:rPr>
          <w:rFonts w:ascii="Arial" w:hAnsi="Arial" w:cs="Arial"/>
        </w:rPr>
        <w:t>I</w:t>
      </w:r>
      <w:r w:rsidR="00D12418" w:rsidRPr="00763118">
        <w:rPr>
          <w:rFonts w:ascii="Arial" w:hAnsi="Arial" w:cs="Arial"/>
        </w:rPr>
        <w:t>ndex allow</w:t>
      </w:r>
      <w:r w:rsidR="00730594" w:rsidRPr="00763118">
        <w:rPr>
          <w:rFonts w:ascii="Arial" w:hAnsi="Arial" w:cs="Arial"/>
        </w:rPr>
        <w:t>s</w:t>
      </w:r>
      <w:r w:rsidRPr="00763118">
        <w:rPr>
          <w:rFonts w:ascii="Arial" w:hAnsi="Arial" w:cs="Arial"/>
        </w:rPr>
        <w:t xml:space="preserve"> to understand if bilateral trade</w:t>
      </w:r>
      <w:r w:rsidR="00C23D79" w:rsidRPr="00763118">
        <w:rPr>
          <w:rFonts w:ascii="Arial" w:hAnsi="Arial" w:cs="Arial"/>
        </w:rPr>
        <w:t xml:space="preserve"> flows </w:t>
      </w:r>
      <w:r w:rsidRPr="00763118">
        <w:rPr>
          <w:rFonts w:ascii="Arial" w:hAnsi="Arial" w:cs="Arial"/>
        </w:rPr>
        <w:t>are complementary, i.e., if the comparative advantage in products expor</w:t>
      </w:r>
      <w:r w:rsidR="00730594" w:rsidRPr="00763118">
        <w:rPr>
          <w:rFonts w:ascii="Arial" w:hAnsi="Arial" w:cs="Arial"/>
        </w:rPr>
        <w:t xml:space="preserve">ted by Portugal and </w:t>
      </w:r>
      <w:r w:rsidR="00730594" w:rsidRPr="00763118">
        <w:rPr>
          <w:rFonts w:ascii="Arial" w:hAnsi="Arial" w:cs="Arial"/>
        </w:rPr>
        <w:lastRenderedPageBreak/>
        <w:t>Poland is</w:t>
      </w:r>
      <w:r w:rsidR="00D12418" w:rsidRPr="00763118">
        <w:rPr>
          <w:rFonts w:ascii="Arial" w:hAnsi="Arial" w:cs="Arial"/>
        </w:rPr>
        <w:t xml:space="preserve"> comple</w:t>
      </w:r>
      <w:r w:rsidR="00730594" w:rsidRPr="00763118">
        <w:rPr>
          <w:rFonts w:ascii="Arial" w:hAnsi="Arial" w:cs="Arial"/>
        </w:rPr>
        <w:t>mented</w:t>
      </w:r>
      <w:r w:rsidR="00D12418" w:rsidRPr="00763118">
        <w:rPr>
          <w:rFonts w:ascii="Arial" w:hAnsi="Arial" w:cs="Arial"/>
        </w:rPr>
        <w:t xml:space="preserve"> by</w:t>
      </w:r>
      <w:r w:rsidRPr="00763118">
        <w:rPr>
          <w:rFonts w:ascii="Arial" w:hAnsi="Arial" w:cs="Arial"/>
        </w:rPr>
        <w:t xml:space="preserve"> a comparative disadvantage in the same products by </w:t>
      </w:r>
      <w:r w:rsidR="00C23D79" w:rsidRPr="00763118">
        <w:rPr>
          <w:rFonts w:ascii="Arial" w:hAnsi="Arial" w:cs="Arial"/>
        </w:rPr>
        <w:t>the</w:t>
      </w:r>
      <w:r w:rsidRPr="00763118">
        <w:rPr>
          <w:rFonts w:ascii="Arial" w:hAnsi="Arial" w:cs="Arial"/>
        </w:rPr>
        <w:t xml:space="preserve"> EU15 countries. </w:t>
      </w:r>
      <w:r w:rsidR="00730594" w:rsidRPr="00763118">
        <w:rPr>
          <w:rFonts w:ascii="Arial" w:hAnsi="Arial" w:cs="Arial"/>
        </w:rPr>
        <w:t xml:space="preserve">It </w:t>
      </w:r>
      <w:r w:rsidR="00730594" w:rsidRPr="00763118">
        <w:rPr>
          <w:rFonts w:ascii="Arial" w:hAnsi="Arial" w:cs="Arial"/>
          <w:lang w:val="en-GB"/>
        </w:rPr>
        <w:t xml:space="preserve">analyses the correspondence between the </w:t>
      </w:r>
      <w:proofErr w:type="gramStart"/>
      <w:r w:rsidR="00730594" w:rsidRPr="00763118">
        <w:rPr>
          <w:rFonts w:ascii="Arial" w:hAnsi="Arial" w:cs="Arial"/>
          <w:lang w:val="en-GB"/>
        </w:rPr>
        <w:t>supply</w:t>
      </w:r>
      <w:proofErr w:type="gramEnd"/>
      <w:r w:rsidR="00730594" w:rsidRPr="00763118">
        <w:rPr>
          <w:rFonts w:ascii="Arial" w:hAnsi="Arial" w:cs="Arial"/>
          <w:lang w:val="en-GB"/>
        </w:rPr>
        <w:t xml:space="preserve"> from the exporter country with the demand from the trade partner</w:t>
      </w:r>
      <w:r w:rsidR="00571C50" w:rsidRPr="00763118">
        <w:rPr>
          <w:rFonts w:ascii="Arial" w:hAnsi="Arial" w:cs="Arial"/>
          <w:lang w:val="en-GB"/>
        </w:rPr>
        <w:t>.</w:t>
      </w:r>
    </w:p>
    <w:p w:rsidR="00D12418" w:rsidRPr="00763118" w:rsidRDefault="00D12418" w:rsidP="004455CB">
      <w:pPr>
        <w:spacing w:after="0" w:line="240" w:lineRule="auto"/>
        <w:ind w:firstLine="567"/>
        <w:jc w:val="both"/>
        <w:rPr>
          <w:rFonts w:ascii="Arial" w:hAnsi="Arial" w:cs="Arial"/>
        </w:rPr>
      </w:pPr>
      <w:r w:rsidRPr="00763118">
        <w:rPr>
          <w:rFonts w:ascii="Arial" w:hAnsi="Arial" w:cs="Arial"/>
        </w:rPr>
        <w:t xml:space="preserve"> The Trade </w:t>
      </w:r>
      <w:r w:rsidR="00517C14" w:rsidRPr="00763118">
        <w:rPr>
          <w:rFonts w:ascii="Arial" w:hAnsi="Arial" w:cs="Arial"/>
        </w:rPr>
        <w:t>Complementary</w:t>
      </w:r>
      <w:r w:rsidRPr="00763118">
        <w:rPr>
          <w:rFonts w:ascii="Arial" w:hAnsi="Arial" w:cs="Arial"/>
        </w:rPr>
        <w:t xml:space="preserve"> Index </w:t>
      </w:r>
      <w:r w:rsidR="00730594" w:rsidRPr="00763118">
        <w:rPr>
          <w:rFonts w:ascii="Arial" w:hAnsi="Arial" w:cs="Arial"/>
        </w:rPr>
        <w:t xml:space="preserve">is </w:t>
      </w:r>
      <w:r w:rsidRPr="00763118">
        <w:rPr>
          <w:rFonts w:ascii="Arial" w:hAnsi="Arial" w:cs="Arial"/>
        </w:rPr>
        <w:t>defined as follows:</w:t>
      </w:r>
    </w:p>
    <w:p w:rsidR="00D12418" w:rsidRPr="00B81348" w:rsidRDefault="00D12418" w:rsidP="00B81348">
      <w:pPr>
        <w:spacing w:before="220" w:after="220" w:line="240" w:lineRule="auto"/>
        <w:ind w:firstLine="567"/>
        <w:jc w:val="both"/>
        <w:rPr>
          <w:rFonts w:ascii="Arial" w:eastAsia="Times New Roman" w:hAnsi="Arial" w:cs="Arial"/>
        </w:rPr>
      </w:pPr>
      <w:r w:rsidRPr="00B81348">
        <w:rPr>
          <w:rFonts w:ascii="Arial" w:eastAsia="Times New Roman" w:hAnsi="Arial" w:cs="Arial"/>
        </w:rPr>
        <w:t xml:space="preserve">TCI = </w:t>
      </w: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ij</m:t>
            </m:r>
          </m:sub>
          <m:sup>
            <m:r>
              <m:rPr>
                <m:sty m:val="p"/>
              </m:rPr>
              <w:rPr>
                <w:rFonts w:ascii="Cambria Math" w:eastAsia="Times New Roman" w:hAnsi="Cambria Math" w:cs="Arial"/>
              </w:rPr>
              <m:t>S</m:t>
            </m:r>
          </m:sup>
        </m:sSubSup>
        <m:r>
          <m:rPr>
            <m:sty m:val="p"/>
          </m:rPr>
          <w:rPr>
            <w:rFonts w:ascii="Cambria Math" w:eastAsia="Times New Roman" w:hAnsi="Cambria Math" w:cs="Arial"/>
          </w:rPr>
          <m:t>=</m:t>
        </m:r>
        <m:f>
          <m:fPr>
            <m:ctrlPr>
              <w:rPr>
                <w:rFonts w:ascii="Cambria Math" w:eastAsia="Times New Roman" w:hAnsi="Cambria Math" w:cs="Arial"/>
              </w:rPr>
            </m:ctrlPr>
          </m:fPr>
          <m:num>
            <m:f>
              <m:fPr>
                <m:ctrlPr>
                  <w:rPr>
                    <w:rFonts w:ascii="Cambria Math" w:eastAsia="Times New Roman" w:hAnsi="Cambria Math" w:cs="Arial"/>
                  </w:rPr>
                </m:ctrlPr>
              </m:fPr>
              <m:num>
                <m:sSubSup>
                  <m:sSubSupPr>
                    <m:ctrlPr>
                      <w:rPr>
                        <w:rFonts w:ascii="Cambria Math" w:eastAsia="Times New Roman" w:hAnsi="Cambria Math" w:cs="Arial"/>
                      </w:rPr>
                    </m:ctrlPr>
                  </m:sSubSupPr>
                  <m:e>
                    <m:r>
                      <m:rPr>
                        <m:sty m:val="p"/>
                      </m:rPr>
                      <w:rPr>
                        <w:rFonts w:ascii="Cambria Math" w:eastAsia="Times New Roman" w:hAnsi="Cambria Math" w:cs="Arial"/>
                      </w:rPr>
                      <m:t>X</m:t>
                    </m:r>
                  </m:e>
                  <m:sub>
                    <m:r>
                      <m:rPr>
                        <m:sty m:val="p"/>
                      </m:rPr>
                      <w:rPr>
                        <w:rFonts w:ascii="Cambria Math" w:eastAsia="Times New Roman" w:hAnsi="Cambria Math" w:cs="Arial"/>
                      </w:rPr>
                      <m:t>iW</m:t>
                    </m:r>
                  </m:sub>
                  <m:sup>
                    <m:r>
                      <m:rPr>
                        <m:sty m:val="p"/>
                      </m:rPr>
                      <w:rPr>
                        <w:rFonts w:ascii="Cambria Math" w:eastAsia="Times New Roman" w:hAnsi="Cambria Math" w:cs="Arial"/>
                      </w:rPr>
                      <m:t>S</m:t>
                    </m:r>
                  </m:sup>
                </m:sSubSup>
              </m:num>
              <m:den>
                <m:sPre>
                  <m:sPrePr>
                    <m:ctrlPr>
                      <w:rPr>
                        <w:rFonts w:ascii="Cambria Math" w:eastAsia="Times New Roman" w:hAnsi="Cambria Math" w:cs="Arial"/>
                      </w:rPr>
                    </m:ctrlPr>
                  </m:sPrePr>
                  <m:sub>
                    <m:r>
                      <m:rPr>
                        <m:sty m:val="p"/>
                      </m:rPr>
                      <w:rPr>
                        <w:rFonts w:ascii="Cambria Math" w:eastAsia="Times New Roman" w:hAnsi="Cambria Math" w:cs="Arial"/>
                      </w:rPr>
                      <m:t>S</m:t>
                    </m:r>
                  </m:sub>
                  <m:sup>
                    <m:r>
                      <m:rPr>
                        <m:sty m:val="p"/>
                      </m:rPr>
                      <w:rPr>
                        <w:rFonts w:ascii="Cambria Math" w:eastAsia="Times New Roman" w:hAnsi="Cambria Math" w:cs="Arial"/>
                      </w:rPr>
                      <m:t>Σ</m:t>
                    </m:r>
                  </m:sup>
                  <m:e>
                    <m:sSub>
                      <m:sSubPr>
                        <m:ctrlPr>
                          <w:rPr>
                            <w:rFonts w:ascii="Cambria Math" w:eastAsia="Times New Roman" w:hAnsi="Cambria Math" w:cs="Arial"/>
                          </w:rPr>
                        </m:ctrlPr>
                      </m:sSubPr>
                      <m:e>
                        <m:r>
                          <m:rPr>
                            <m:sty m:val="p"/>
                          </m:rPr>
                          <w:rPr>
                            <w:rFonts w:ascii="Cambria Math" w:eastAsia="Times New Roman" w:hAnsi="Cambria Math" w:cs="Arial"/>
                          </w:rPr>
                          <m:t>X</m:t>
                        </m:r>
                      </m:e>
                      <m:sub>
                        <m:r>
                          <m:rPr>
                            <m:sty m:val="p"/>
                          </m:rPr>
                          <w:rPr>
                            <w:rFonts w:ascii="Cambria Math" w:eastAsia="Times New Roman" w:hAnsi="Cambria Math" w:cs="Arial"/>
                          </w:rPr>
                          <m:t>iW</m:t>
                        </m:r>
                      </m:sub>
                    </m:sSub>
                  </m:e>
                </m:sPre>
              </m:den>
            </m:f>
            <m:r>
              <m:rPr>
                <m:sty m:val="p"/>
              </m:rPr>
              <w:rPr>
                <w:rFonts w:ascii="Cambria Math" w:eastAsia="Times New Roman" w:hAnsi="Cambria Math" w:cs="Arial"/>
              </w:rPr>
              <m:t>*</m:t>
            </m:r>
            <m:f>
              <m:fPr>
                <m:ctrlPr>
                  <w:rPr>
                    <w:rFonts w:ascii="Cambria Math" w:eastAsia="Times New Roman" w:hAnsi="Cambria Math" w:cs="Arial"/>
                  </w:rPr>
                </m:ctrlPr>
              </m:fPr>
              <m:num>
                <m:sSubSup>
                  <m:sSubSupPr>
                    <m:ctrlPr>
                      <w:rPr>
                        <w:rFonts w:ascii="Cambria Math" w:eastAsia="Times New Roman" w:hAnsi="Cambria Math" w:cs="Arial"/>
                      </w:rPr>
                    </m:ctrlPr>
                  </m:sSubSupPr>
                  <m:e>
                    <m:r>
                      <m:rPr>
                        <m:sty m:val="p"/>
                      </m:rPr>
                      <w:rPr>
                        <w:rFonts w:ascii="Cambria Math" w:eastAsia="Times New Roman" w:hAnsi="Cambria Math" w:cs="Arial"/>
                      </w:rPr>
                      <m:t>M</m:t>
                    </m:r>
                  </m:e>
                  <m:sub>
                    <m:r>
                      <m:rPr>
                        <m:sty m:val="p"/>
                      </m:rPr>
                      <w:rPr>
                        <w:rFonts w:ascii="Cambria Math" w:eastAsia="Times New Roman" w:hAnsi="Cambria Math" w:cs="Arial"/>
                      </w:rPr>
                      <m:t>jW</m:t>
                    </m:r>
                  </m:sub>
                  <m:sup>
                    <m:r>
                      <m:rPr>
                        <m:sty m:val="p"/>
                      </m:rPr>
                      <w:rPr>
                        <w:rFonts w:ascii="Cambria Math" w:eastAsia="Times New Roman" w:hAnsi="Cambria Math" w:cs="Arial"/>
                      </w:rPr>
                      <m:t>S</m:t>
                    </m:r>
                  </m:sup>
                </m:sSubSup>
              </m:num>
              <m:den>
                <m:sPre>
                  <m:sPrePr>
                    <m:ctrlPr>
                      <w:rPr>
                        <w:rFonts w:ascii="Cambria Math" w:eastAsia="Times New Roman" w:hAnsi="Cambria Math" w:cs="Arial"/>
                      </w:rPr>
                    </m:ctrlPr>
                  </m:sPrePr>
                  <m:sub>
                    <m:r>
                      <m:rPr>
                        <m:sty m:val="p"/>
                      </m:rPr>
                      <w:rPr>
                        <w:rFonts w:ascii="Cambria Math" w:eastAsia="Times New Roman" w:hAnsi="Cambria Math" w:cs="Arial"/>
                      </w:rPr>
                      <m:t>S</m:t>
                    </m:r>
                  </m:sub>
                  <m:sup>
                    <m:r>
                      <m:rPr>
                        <m:sty m:val="p"/>
                      </m:rPr>
                      <w:rPr>
                        <w:rFonts w:ascii="Cambria Math" w:eastAsia="Times New Roman" w:hAnsi="Cambria Math" w:cs="Arial"/>
                      </w:rPr>
                      <m:t>Σ</m:t>
                    </m:r>
                  </m:sup>
                  <m:e>
                    <m:sSub>
                      <m:sSubPr>
                        <m:ctrlPr>
                          <w:rPr>
                            <w:rFonts w:ascii="Cambria Math" w:eastAsia="Times New Roman" w:hAnsi="Cambria Math" w:cs="Arial"/>
                          </w:rPr>
                        </m:ctrlPr>
                      </m:sSubPr>
                      <m:e>
                        <m:r>
                          <m:rPr>
                            <m:sty m:val="p"/>
                          </m:rPr>
                          <w:rPr>
                            <w:rFonts w:ascii="Cambria Math" w:eastAsia="Times New Roman" w:hAnsi="Cambria Math" w:cs="Arial"/>
                          </w:rPr>
                          <m:t>M</m:t>
                        </m:r>
                      </m:e>
                      <m:sub>
                        <m:r>
                          <m:rPr>
                            <m:sty m:val="p"/>
                          </m:rPr>
                          <w:rPr>
                            <w:rFonts w:ascii="Cambria Math" w:eastAsia="Times New Roman" w:hAnsi="Cambria Math" w:cs="Arial"/>
                          </w:rPr>
                          <m:t>jW</m:t>
                        </m:r>
                      </m:sub>
                    </m:sSub>
                  </m:e>
                </m:sPre>
              </m:den>
            </m:f>
          </m:num>
          <m:den>
            <m:sSup>
              <m:sSupPr>
                <m:ctrlPr>
                  <w:rPr>
                    <w:rFonts w:ascii="Cambria Math" w:eastAsia="Times New Roman" w:hAnsi="Cambria Math" w:cs="Arial"/>
                  </w:rPr>
                </m:ctrlPr>
              </m:sSupPr>
              <m:e>
                <m:d>
                  <m:dPr>
                    <m:ctrlPr>
                      <w:rPr>
                        <w:rFonts w:ascii="Cambria Math" w:eastAsia="Times New Roman" w:hAnsi="Cambria Math" w:cs="Arial"/>
                      </w:rPr>
                    </m:ctrlPr>
                  </m:dPr>
                  <m:e>
                    <m:f>
                      <m:fPr>
                        <m:ctrlPr>
                          <w:rPr>
                            <w:rFonts w:ascii="Cambria Math" w:eastAsia="Times New Roman" w:hAnsi="Cambria Math" w:cs="Arial"/>
                          </w:rPr>
                        </m:ctrlPr>
                      </m:fPr>
                      <m:num>
                        <m:sSubSup>
                          <m:sSubSupPr>
                            <m:ctrlPr>
                              <w:rPr>
                                <w:rFonts w:ascii="Cambria Math" w:eastAsia="Times New Roman" w:hAnsi="Cambria Math" w:cs="Arial"/>
                              </w:rPr>
                            </m:ctrlPr>
                          </m:sSubSupPr>
                          <m:e>
                            <m:r>
                              <m:rPr>
                                <m:sty m:val="p"/>
                              </m:rPr>
                              <w:rPr>
                                <w:rFonts w:ascii="Cambria Math" w:eastAsia="Times New Roman" w:hAnsi="Cambria Math" w:cs="Arial"/>
                              </w:rPr>
                              <m:t>M</m:t>
                            </m:r>
                          </m:e>
                          <m:sub>
                            <m:r>
                              <m:rPr>
                                <m:sty m:val="p"/>
                              </m:rPr>
                              <w:rPr>
                                <w:rFonts w:ascii="Cambria Math" w:eastAsia="Times New Roman" w:hAnsi="Cambria Math" w:cs="Arial"/>
                              </w:rPr>
                              <m:t>WW</m:t>
                            </m:r>
                          </m:sub>
                          <m:sup>
                            <m:r>
                              <m:rPr>
                                <m:sty m:val="p"/>
                              </m:rPr>
                              <w:rPr>
                                <w:rFonts w:ascii="Cambria Math" w:eastAsia="Times New Roman" w:hAnsi="Cambria Math" w:cs="Arial"/>
                              </w:rPr>
                              <m:t>S</m:t>
                            </m:r>
                          </m:sup>
                        </m:sSubSup>
                      </m:num>
                      <m:den>
                        <m:sPre>
                          <m:sPrePr>
                            <m:ctrlPr>
                              <w:rPr>
                                <w:rFonts w:ascii="Cambria Math" w:eastAsia="Times New Roman" w:hAnsi="Cambria Math" w:cs="Arial"/>
                              </w:rPr>
                            </m:ctrlPr>
                          </m:sPrePr>
                          <m:sub>
                            <m:r>
                              <m:rPr>
                                <m:sty m:val="p"/>
                              </m:rPr>
                              <w:rPr>
                                <w:rFonts w:ascii="Cambria Math" w:eastAsia="Times New Roman" w:hAnsi="Cambria Math" w:cs="Arial"/>
                              </w:rPr>
                              <m:t>S</m:t>
                            </m:r>
                          </m:sub>
                          <m:sup>
                            <m:r>
                              <m:rPr>
                                <m:sty m:val="p"/>
                              </m:rPr>
                              <w:rPr>
                                <w:rFonts w:ascii="Cambria Math" w:eastAsia="Times New Roman" w:hAnsi="Cambria Math" w:cs="Arial"/>
                              </w:rPr>
                              <m:t>Σ</m:t>
                            </m:r>
                          </m:sup>
                          <m:e>
                            <m:sSubSup>
                              <m:sSubSupPr>
                                <m:ctrlPr>
                                  <w:rPr>
                                    <w:rFonts w:ascii="Cambria Math" w:eastAsia="Times New Roman" w:hAnsi="Cambria Math" w:cs="Arial"/>
                                  </w:rPr>
                                </m:ctrlPr>
                              </m:sSubSupPr>
                              <m:e>
                                <m:r>
                                  <m:rPr>
                                    <m:sty m:val="p"/>
                                  </m:rPr>
                                  <w:rPr>
                                    <w:rFonts w:ascii="Cambria Math" w:eastAsia="Times New Roman" w:hAnsi="Cambria Math" w:cs="Arial"/>
                                  </w:rPr>
                                  <m:t>M</m:t>
                                </m:r>
                              </m:e>
                              <m:sub>
                                <m:r>
                                  <m:rPr>
                                    <m:sty m:val="p"/>
                                  </m:rPr>
                                  <w:rPr>
                                    <w:rFonts w:ascii="Cambria Math" w:eastAsia="Times New Roman" w:hAnsi="Cambria Math" w:cs="Arial"/>
                                  </w:rPr>
                                  <m:t>WW</m:t>
                                </m:r>
                              </m:sub>
                              <m:sup>
                                <m:r>
                                  <m:rPr>
                                    <m:sty m:val="p"/>
                                  </m:rPr>
                                  <w:rPr>
                                    <w:rFonts w:ascii="Cambria Math" w:eastAsia="Times New Roman" w:hAnsi="Cambria Math" w:cs="Arial"/>
                                  </w:rPr>
                                  <m:t>S</m:t>
                                </m:r>
                              </m:sup>
                            </m:sSubSup>
                          </m:e>
                        </m:sPre>
                      </m:den>
                    </m:f>
                  </m:e>
                </m:d>
              </m:e>
              <m:sup>
                <m:r>
                  <m:rPr>
                    <m:sty m:val="p"/>
                  </m:rPr>
                  <w:rPr>
                    <w:rFonts w:ascii="Cambria Math" w:eastAsia="Times New Roman" w:hAnsi="Cambria Math" w:cs="Arial"/>
                  </w:rPr>
                  <m:t>2</m:t>
                </m:r>
              </m:sup>
            </m:sSup>
          </m:den>
        </m:f>
      </m:oMath>
    </w:p>
    <w:p w:rsidR="00D12418" w:rsidRPr="00740301" w:rsidRDefault="00D12418" w:rsidP="004455CB">
      <w:pPr>
        <w:spacing w:after="0" w:line="240" w:lineRule="auto"/>
        <w:ind w:firstLine="567"/>
        <w:jc w:val="both"/>
        <w:rPr>
          <w:rFonts w:ascii="Arial" w:hAnsi="Arial" w:cs="Arial"/>
        </w:rPr>
      </w:pPr>
      <w:r w:rsidRPr="00740301">
        <w:rPr>
          <w:rFonts w:ascii="Arial" w:hAnsi="Arial" w:cs="Arial"/>
        </w:rPr>
        <w:t>Where, S</w:t>
      </w:r>
      <w:r w:rsidR="0056574E" w:rsidRPr="00740301">
        <w:rPr>
          <w:rFonts w:ascii="Arial" w:hAnsi="Arial" w:cs="Arial"/>
        </w:rPr>
        <w:t xml:space="preserve"> is the group</w:t>
      </w:r>
      <w:r w:rsidRPr="00740301">
        <w:rPr>
          <w:rFonts w:ascii="Arial" w:hAnsi="Arial" w:cs="Arial"/>
        </w:rPr>
        <w:t xml:space="preserve">; </w:t>
      </w:r>
      <w:proofErr w:type="spellStart"/>
      <w:r w:rsidR="005C7CD5" w:rsidRPr="00740301">
        <w:rPr>
          <w:rFonts w:ascii="Arial" w:hAnsi="Arial" w:cs="Arial"/>
        </w:rPr>
        <w:t>i</w:t>
      </w:r>
      <w:proofErr w:type="spellEnd"/>
      <w:r w:rsidRPr="00740301">
        <w:rPr>
          <w:rFonts w:ascii="Arial" w:hAnsi="Arial" w:cs="Arial"/>
        </w:rPr>
        <w:t xml:space="preserve"> is the exporting country (either Portugal or Poland); j</w:t>
      </w:r>
      <w:r w:rsidR="00780D37" w:rsidRPr="00740301">
        <w:rPr>
          <w:rFonts w:ascii="Arial" w:hAnsi="Arial" w:cs="Arial"/>
        </w:rPr>
        <w:t xml:space="preserve"> is the importing area (</w:t>
      </w:r>
      <w:r w:rsidRPr="00740301">
        <w:rPr>
          <w:rFonts w:ascii="Arial" w:hAnsi="Arial" w:cs="Arial"/>
        </w:rPr>
        <w:t>E</w:t>
      </w:r>
      <w:r w:rsidR="00780D37" w:rsidRPr="00740301">
        <w:rPr>
          <w:rFonts w:ascii="Arial" w:hAnsi="Arial" w:cs="Arial"/>
        </w:rPr>
        <w:t>U</w:t>
      </w:r>
      <w:r w:rsidRPr="00740301">
        <w:rPr>
          <w:rFonts w:ascii="Arial" w:hAnsi="Arial" w:cs="Arial"/>
        </w:rPr>
        <w:t>15); W is the World; X are the export; and M are the imports.</w:t>
      </w:r>
    </w:p>
    <w:p w:rsidR="00D12418" w:rsidRPr="00740301" w:rsidRDefault="00730594" w:rsidP="004455CB">
      <w:pPr>
        <w:spacing w:after="0" w:line="240" w:lineRule="auto"/>
        <w:ind w:firstLine="567"/>
        <w:jc w:val="both"/>
        <w:rPr>
          <w:rFonts w:ascii="Arial" w:hAnsi="Arial" w:cs="Arial"/>
        </w:rPr>
      </w:pPr>
      <w:r w:rsidRPr="00740301">
        <w:rPr>
          <w:rFonts w:ascii="Arial" w:hAnsi="Arial" w:cs="Arial"/>
        </w:rPr>
        <w:t>.</w:t>
      </w:r>
      <w:r w:rsidR="00D12418" w:rsidRPr="00740301">
        <w:rPr>
          <w:rFonts w:ascii="Arial" w:hAnsi="Arial" w:cs="Arial"/>
        </w:rPr>
        <w:t xml:space="preserve"> If TCI is greater than 1</w:t>
      </w:r>
      <w:r w:rsidR="00D31F8D" w:rsidRPr="00740301">
        <w:rPr>
          <w:rFonts w:ascii="Arial" w:hAnsi="Arial" w:cs="Arial"/>
          <w:lang w:val="en-GB"/>
        </w:rPr>
        <w:t xml:space="preserve"> it means that there is trade </w:t>
      </w:r>
      <w:proofErr w:type="spellStart"/>
      <w:r w:rsidR="00D31F8D" w:rsidRPr="00740301">
        <w:rPr>
          <w:rFonts w:ascii="Arial" w:hAnsi="Arial" w:cs="Arial"/>
          <w:lang w:val="en-GB"/>
        </w:rPr>
        <w:t>complementarity</w:t>
      </w:r>
      <w:proofErr w:type="spellEnd"/>
      <w:r w:rsidR="00D31F8D" w:rsidRPr="00740301">
        <w:rPr>
          <w:rFonts w:ascii="Arial" w:hAnsi="Arial" w:cs="Arial"/>
          <w:lang w:val="en-GB"/>
        </w:rPr>
        <w:t xml:space="preserve">, as the exporter country shows a superior competitiveness and satisfies the demand of the trade partner. </w:t>
      </w:r>
    </w:p>
    <w:p w:rsidR="0087209C" w:rsidRPr="00763118" w:rsidRDefault="00D31F8D" w:rsidP="004455CB">
      <w:pPr>
        <w:tabs>
          <w:tab w:val="left" w:pos="426"/>
        </w:tabs>
        <w:spacing w:after="0" w:line="240" w:lineRule="auto"/>
        <w:ind w:firstLine="567"/>
        <w:jc w:val="both"/>
        <w:rPr>
          <w:rFonts w:ascii="Arial" w:hAnsi="Arial" w:cs="Arial"/>
        </w:rPr>
      </w:pPr>
      <w:r w:rsidRPr="00740301">
        <w:rPr>
          <w:rStyle w:val="hps"/>
          <w:rFonts w:ascii="Arial" w:hAnsi="Arial" w:cs="Arial"/>
          <w:lang w:val="en-GB"/>
        </w:rPr>
        <w:t xml:space="preserve">The </w:t>
      </w:r>
      <w:r w:rsidR="00780D37" w:rsidRPr="00740301">
        <w:rPr>
          <w:rFonts w:ascii="Arial" w:hAnsi="Arial" w:cs="Arial"/>
        </w:rPr>
        <w:t>Geographical Orientation Index</w:t>
      </w:r>
      <w:r w:rsidR="00730594" w:rsidRPr="00740301">
        <w:rPr>
          <w:rStyle w:val="hps"/>
          <w:rFonts w:ascii="Arial" w:hAnsi="Arial" w:cs="Arial"/>
          <w:lang w:val="en-GB"/>
        </w:rPr>
        <w:t xml:space="preserve"> is defined as the ratio, for a specific product, between the country’s share </w:t>
      </w:r>
      <w:r w:rsidR="00780D37" w:rsidRPr="00740301">
        <w:rPr>
          <w:rStyle w:val="hps"/>
          <w:rFonts w:ascii="Arial" w:hAnsi="Arial" w:cs="Arial"/>
          <w:lang w:val="en-GB"/>
        </w:rPr>
        <w:t>of exports to the trade partner</w:t>
      </w:r>
      <w:r w:rsidR="00730594" w:rsidRPr="00740301">
        <w:rPr>
          <w:rStyle w:val="hps"/>
          <w:rFonts w:ascii="Arial" w:hAnsi="Arial" w:cs="Arial"/>
          <w:lang w:val="en-GB"/>
        </w:rPr>
        <w:t xml:space="preserve"> and the partner’s share </w:t>
      </w:r>
      <w:r w:rsidR="00780D37" w:rsidRPr="00740301">
        <w:rPr>
          <w:rStyle w:val="hps"/>
          <w:rFonts w:ascii="Arial" w:hAnsi="Arial" w:cs="Arial"/>
          <w:lang w:val="en-GB"/>
        </w:rPr>
        <w:t>of the</w:t>
      </w:r>
      <w:r w:rsidR="00730594" w:rsidRPr="00740301">
        <w:rPr>
          <w:rStyle w:val="hps"/>
          <w:rFonts w:ascii="Arial" w:hAnsi="Arial" w:cs="Arial"/>
          <w:lang w:val="en-GB"/>
        </w:rPr>
        <w:t xml:space="preserve"> world imports (excluding from the world imports those that are from the exporter country). It aims to verify the</w:t>
      </w:r>
      <w:r w:rsidR="00730594" w:rsidRPr="00740301">
        <w:rPr>
          <w:rStyle w:val="shorttext"/>
          <w:rFonts w:ascii="Arial" w:hAnsi="Arial" w:cs="Arial"/>
          <w:lang w:val="en-GB"/>
        </w:rPr>
        <w:t xml:space="preserve"> </w:t>
      </w:r>
      <w:r w:rsidR="00730594" w:rsidRPr="00740301">
        <w:rPr>
          <w:rStyle w:val="hps"/>
          <w:rFonts w:ascii="Arial" w:hAnsi="Arial" w:cs="Arial"/>
          <w:lang w:val="en-GB"/>
        </w:rPr>
        <w:t>existence of</w:t>
      </w:r>
      <w:r w:rsidR="00730594" w:rsidRPr="00763118">
        <w:rPr>
          <w:rStyle w:val="shorttext"/>
          <w:rFonts w:ascii="Arial" w:hAnsi="Arial" w:cs="Arial"/>
          <w:lang w:val="en-GB"/>
        </w:rPr>
        <w:t xml:space="preserve"> </w:t>
      </w:r>
      <w:r w:rsidR="00730594" w:rsidRPr="00763118">
        <w:rPr>
          <w:rStyle w:val="hps"/>
          <w:rFonts w:ascii="Arial" w:hAnsi="Arial" w:cs="Arial"/>
          <w:lang w:val="en-GB"/>
        </w:rPr>
        <w:t xml:space="preserve">geographical bias, i.e. if the export capacity for the trade partner is </w:t>
      </w:r>
      <w:proofErr w:type="gramStart"/>
      <w:r w:rsidR="00730594" w:rsidRPr="00763118">
        <w:rPr>
          <w:rStyle w:val="shorttext"/>
          <w:rFonts w:ascii="Arial" w:hAnsi="Arial" w:cs="Arial"/>
          <w:shd w:val="clear" w:color="auto" w:fill="FFFFFF"/>
        </w:rPr>
        <w:t>undervalued,</w:t>
      </w:r>
      <w:proofErr w:type="gramEnd"/>
      <w:r w:rsidR="00730594" w:rsidRPr="00763118">
        <w:rPr>
          <w:rStyle w:val="shorttext"/>
          <w:rFonts w:ascii="Arial" w:hAnsi="Arial" w:cs="Arial"/>
          <w:shd w:val="clear" w:color="auto" w:fill="FFFFFF"/>
        </w:rPr>
        <w:t xml:space="preserve"> meaning that the exporter country has room to increase exports to the </w:t>
      </w:r>
      <w:r w:rsidR="00517C14" w:rsidRPr="00763118">
        <w:rPr>
          <w:rStyle w:val="shorttext"/>
          <w:rFonts w:ascii="Arial" w:hAnsi="Arial" w:cs="Arial"/>
          <w:shd w:val="clear" w:color="auto" w:fill="FFFFFF"/>
        </w:rPr>
        <w:t>trade partner</w:t>
      </w:r>
      <w:r w:rsidR="00F152F8" w:rsidRPr="00763118">
        <w:rPr>
          <w:rStyle w:val="shorttext"/>
          <w:rFonts w:ascii="Arial" w:hAnsi="Arial" w:cs="Arial"/>
          <w:shd w:val="clear" w:color="auto" w:fill="FFFFFF"/>
        </w:rPr>
        <w:t xml:space="preserve"> </w:t>
      </w:r>
      <w:r w:rsidR="0008217A" w:rsidRPr="00763118">
        <w:rPr>
          <w:rStyle w:val="shorttext"/>
          <w:rFonts w:ascii="Arial" w:hAnsi="Arial" w:cs="Arial"/>
          <w:shd w:val="clear" w:color="auto" w:fill="FFFFFF"/>
        </w:rPr>
        <w:t>.</w:t>
      </w:r>
      <w:r w:rsidR="005C7CD5" w:rsidRPr="00763118">
        <w:rPr>
          <w:rFonts w:ascii="Arial" w:hAnsi="Arial" w:cs="Arial"/>
        </w:rPr>
        <w:t xml:space="preserve">The index can be written as follows: </w:t>
      </w:r>
    </w:p>
    <w:p w:rsidR="00260DDF" w:rsidRPr="00740301" w:rsidRDefault="00260DDF" w:rsidP="00B81348">
      <w:pPr>
        <w:spacing w:before="220" w:after="220" w:line="240" w:lineRule="auto"/>
        <w:ind w:firstLine="567"/>
        <w:jc w:val="both"/>
        <w:rPr>
          <w:rFonts w:ascii="Arial" w:hAnsi="Arial" w:cs="Arial"/>
        </w:rPr>
      </w:pPr>
      <w:r w:rsidRPr="00763118">
        <w:rPr>
          <w:rFonts w:ascii="Arial" w:hAnsi="Arial" w:cs="Arial"/>
        </w:rPr>
        <w:t xml:space="preserve">GOI = </w:t>
      </w:r>
      <m:oMath>
        <m:sSubSup>
          <m:sSubSupPr>
            <m:ctrlPr>
              <w:rPr>
                <w:rFonts w:ascii="Cambria Math" w:hAnsi="Cambria Math" w:cs="Arial"/>
              </w:rPr>
            </m:ctrlPr>
          </m:sSubSupPr>
          <m:e>
            <m:r>
              <m:rPr>
                <m:sty m:val="p"/>
              </m:rPr>
              <w:rPr>
                <w:rFonts w:ascii="Cambria Math" w:hAnsi="Cambria Math" w:cs="Arial"/>
              </w:rPr>
              <m:t>I</m:t>
            </m:r>
          </m:e>
          <m:sub>
            <m:r>
              <m:rPr>
                <m:sty m:val="p"/>
              </m:rPr>
              <w:rPr>
                <w:rFonts w:ascii="Cambria Math" w:hAnsi="Cambria Math" w:cs="Arial"/>
              </w:rPr>
              <m:t>ij</m:t>
            </m:r>
          </m:sub>
          <m:sup>
            <m:r>
              <m:rPr>
                <m:sty m:val="p"/>
              </m:rPr>
              <w:rPr>
                <w:rFonts w:ascii="Cambria Math" w:hAnsi="Cambria Math" w:cs="Arial"/>
              </w:rPr>
              <m:t>S</m:t>
            </m:r>
          </m:sup>
        </m:sSubSup>
        <m:r>
          <m:rPr>
            <m:sty m:val="p"/>
          </m:rPr>
          <w:rPr>
            <w:rFonts w:ascii="Cambria Math" w:hAnsi="Cambria Math" w:cs="Arial"/>
          </w:rPr>
          <m:t>=</m:t>
        </m:r>
        <m:f>
          <m:fPr>
            <m:ctrlPr>
              <w:rPr>
                <w:rFonts w:ascii="Cambria Math" w:hAnsi="Cambria Math" w:cs="Arial"/>
              </w:rPr>
            </m:ctrlPr>
          </m:fPr>
          <m:num>
            <m:f>
              <m:fPr>
                <m:ctrlPr>
                  <w:rPr>
                    <w:rFonts w:ascii="Cambria Math" w:hAnsi="Cambria Math" w:cs="Arial"/>
                  </w:rPr>
                </m:ctrlPr>
              </m:fPr>
              <m:num>
                <m:sSubSup>
                  <m:sSubSupPr>
                    <m:ctrlPr>
                      <w:rPr>
                        <w:rFonts w:ascii="Cambria Math" w:hAnsi="Cambria Math" w:cs="Arial"/>
                      </w:rPr>
                    </m:ctrlPr>
                  </m:sSubSupPr>
                  <m:e>
                    <m:r>
                      <m:rPr>
                        <m:sty m:val="p"/>
                      </m:rPr>
                      <w:rPr>
                        <w:rFonts w:ascii="Cambria Math" w:hAnsi="Cambria Math" w:cs="Arial"/>
                      </w:rPr>
                      <m:t>X</m:t>
                    </m:r>
                  </m:e>
                  <m:sub>
                    <m:r>
                      <m:rPr>
                        <m:sty m:val="p"/>
                      </m:rPr>
                      <w:rPr>
                        <w:rFonts w:ascii="Cambria Math" w:hAnsi="Cambria Math" w:cs="Arial"/>
                      </w:rPr>
                      <m:t>ij</m:t>
                    </m:r>
                  </m:sub>
                  <m:sup>
                    <m:r>
                      <m:rPr>
                        <m:sty m:val="p"/>
                      </m:rPr>
                      <w:rPr>
                        <w:rFonts w:ascii="Cambria Math" w:hAnsi="Cambria Math" w:cs="Arial"/>
                      </w:rPr>
                      <m:t>S</m:t>
                    </m:r>
                  </m:sup>
                </m:sSubSup>
              </m:num>
              <m:den>
                <m:sSubSup>
                  <m:sSubSupPr>
                    <m:ctrlPr>
                      <w:rPr>
                        <w:rFonts w:ascii="Cambria Math" w:hAnsi="Cambria Math" w:cs="Arial"/>
                      </w:rPr>
                    </m:ctrlPr>
                  </m:sSubSupPr>
                  <m:e>
                    <m:r>
                      <m:rPr>
                        <m:sty m:val="p"/>
                      </m:rPr>
                      <w:rPr>
                        <w:rFonts w:ascii="Cambria Math" w:hAnsi="Cambria Math" w:cs="Arial"/>
                      </w:rPr>
                      <m:t>X</m:t>
                    </m:r>
                  </m:e>
                  <m:sub>
                    <m:r>
                      <m:rPr>
                        <m:sty m:val="p"/>
                      </m:rPr>
                      <w:rPr>
                        <w:rFonts w:ascii="Cambria Math" w:hAnsi="Cambria Math" w:cs="Arial"/>
                      </w:rPr>
                      <m:t>i</m:t>
                    </m:r>
                  </m:sub>
                  <m:sup>
                    <m:r>
                      <m:rPr>
                        <m:sty m:val="p"/>
                      </m:rPr>
                      <w:rPr>
                        <w:rFonts w:ascii="Cambria Math" w:hAnsi="Cambria Math" w:cs="Arial"/>
                      </w:rPr>
                      <m:t>S</m:t>
                    </m:r>
                  </m:sup>
                </m:sSubSup>
              </m:den>
            </m:f>
          </m:num>
          <m:den>
            <m:f>
              <m:fPr>
                <m:ctrlPr>
                  <w:rPr>
                    <w:rFonts w:ascii="Cambria Math" w:hAnsi="Cambria Math" w:cs="Arial"/>
                  </w:rPr>
                </m:ctrlPr>
              </m:fPr>
              <m:num>
                <m:sSubSup>
                  <m:sSubSupPr>
                    <m:ctrlPr>
                      <w:rPr>
                        <w:rFonts w:ascii="Cambria Math" w:hAnsi="Cambria Math" w:cs="Arial"/>
                      </w:rPr>
                    </m:ctrlPr>
                  </m:sSubSupPr>
                  <m:e>
                    <m:r>
                      <m:rPr>
                        <m:sty m:val="p"/>
                      </m:rPr>
                      <w:rPr>
                        <w:rFonts w:ascii="Cambria Math" w:hAnsi="Cambria Math" w:cs="Arial"/>
                      </w:rPr>
                      <m:t>M</m:t>
                    </m:r>
                  </m:e>
                  <m:sub>
                    <m:r>
                      <m:rPr>
                        <m:sty m:val="p"/>
                      </m:rPr>
                      <w:rPr>
                        <w:rFonts w:ascii="Cambria Math" w:hAnsi="Cambria Math" w:cs="Arial"/>
                      </w:rPr>
                      <m:t>j</m:t>
                    </m:r>
                  </m:sub>
                  <m:sup>
                    <m:r>
                      <m:rPr>
                        <m:sty m:val="p"/>
                      </m:rPr>
                      <w:rPr>
                        <w:rFonts w:ascii="Cambria Math" w:hAnsi="Cambria Math" w:cs="Arial"/>
                      </w:rPr>
                      <m:t>S</m:t>
                    </m:r>
                  </m:sup>
                </m:sSubSup>
              </m:num>
              <m:den>
                <m:sSubSup>
                  <m:sSubSupPr>
                    <m:ctrlPr>
                      <w:rPr>
                        <w:rFonts w:ascii="Cambria Math" w:hAnsi="Cambria Math" w:cs="Arial"/>
                      </w:rPr>
                    </m:ctrlPr>
                  </m:sSubSupPr>
                  <m:e>
                    <m:r>
                      <m:rPr>
                        <m:sty m:val="p"/>
                      </m:rPr>
                      <w:rPr>
                        <w:rFonts w:ascii="Cambria Math" w:hAnsi="Cambria Math" w:cs="Arial"/>
                      </w:rPr>
                      <m:t>M</m:t>
                    </m:r>
                  </m:e>
                  <m:sub>
                    <m:r>
                      <m:rPr>
                        <m:sty m:val="p"/>
                      </m:rPr>
                      <w:rPr>
                        <w:rFonts w:ascii="Cambria Math" w:hAnsi="Cambria Math" w:cs="Arial"/>
                      </w:rPr>
                      <m:t>W-i</m:t>
                    </m:r>
                  </m:sub>
                  <m:sup>
                    <m:r>
                      <m:rPr>
                        <m:sty m:val="p"/>
                      </m:rPr>
                      <w:rPr>
                        <w:rFonts w:ascii="Cambria Math" w:hAnsi="Cambria Math" w:cs="Arial"/>
                      </w:rPr>
                      <m:t>S</m:t>
                    </m:r>
                  </m:sup>
                </m:sSubSup>
              </m:den>
            </m:f>
          </m:den>
        </m:f>
      </m:oMath>
    </w:p>
    <w:p w:rsidR="00F152F8" w:rsidRPr="00740301" w:rsidRDefault="005C7CD5" w:rsidP="004455CB">
      <w:pPr>
        <w:spacing w:after="0" w:line="240" w:lineRule="auto"/>
        <w:ind w:firstLine="567"/>
        <w:jc w:val="both"/>
        <w:rPr>
          <w:rFonts w:ascii="Arial" w:hAnsi="Arial" w:cs="Arial"/>
        </w:rPr>
      </w:pPr>
      <w:r w:rsidRPr="00740301">
        <w:rPr>
          <w:rFonts w:ascii="Arial" w:hAnsi="Arial" w:cs="Arial"/>
        </w:rPr>
        <w:t>Where, once again, S</w:t>
      </w:r>
      <w:r w:rsidR="0056574E" w:rsidRPr="00740301">
        <w:rPr>
          <w:rFonts w:ascii="Arial" w:hAnsi="Arial" w:cs="Arial"/>
        </w:rPr>
        <w:t xml:space="preserve"> is the group</w:t>
      </w:r>
      <w:r w:rsidRPr="00740301">
        <w:rPr>
          <w:rFonts w:ascii="Arial" w:hAnsi="Arial" w:cs="Arial"/>
        </w:rPr>
        <w:t xml:space="preserve">; </w:t>
      </w:r>
      <w:proofErr w:type="spellStart"/>
      <w:r w:rsidRPr="00740301">
        <w:rPr>
          <w:rFonts w:ascii="Arial" w:hAnsi="Arial" w:cs="Arial"/>
        </w:rPr>
        <w:t>i</w:t>
      </w:r>
      <w:proofErr w:type="spellEnd"/>
      <w:r w:rsidRPr="00740301">
        <w:rPr>
          <w:rFonts w:ascii="Arial" w:hAnsi="Arial" w:cs="Arial"/>
        </w:rPr>
        <w:t xml:space="preserve"> is the exporting country (either Portugal or Poland); j is the importing area (UE15); W is the World; X are the export; and M are the imports. </w:t>
      </w:r>
    </w:p>
    <w:p w:rsidR="00F152F8" w:rsidRPr="00763118" w:rsidRDefault="00F152F8" w:rsidP="004455CB">
      <w:pPr>
        <w:spacing w:after="0" w:line="240" w:lineRule="auto"/>
        <w:ind w:firstLine="567"/>
        <w:jc w:val="both"/>
        <w:rPr>
          <w:rStyle w:val="hps"/>
          <w:rFonts w:ascii="Arial" w:hAnsi="Arial" w:cs="Arial"/>
          <w:lang w:val="en-GB"/>
        </w:rPr>
      </w:pPr>
      <w:r w:rsidRPr="00763118">
        <w:rPr>
          <w:rFonts w:ascii="Arial" w:hAnsi="Arial" w:cs="Arial"/>
          <w:lang w:val="en-GB"/>
        </w:rPr>
        <w:t xml:space="preserve">If GOI is higher than one it means </w:t>
      </w:r>
      <w:r w:rsidRPr="00763118">
        <w:rPr>
          <w:rStyle w:val="hps"/>
          <w:rFonts w:ascii="Arial" w:hAnsi="Arial" w:cs="Arial"/>
          <w:lang w:val="en-GB"/>
        </w:rPr>
        <w:t>a "positive</w:t>
      </w:r>
      <w:r w:rsidRPr="00763118">
        <w:rPr>
          <w:rFonts w:ascii="Arial" w:hAnsi="Arial" w:cs="Arial"/>
          <w:lang w:val="en-GB"/>
        </w:rPr>
        <w:t xml:space="preserve">" </w:t>
      </w:r>
      <w:r w:rsidRPr="00763118">
        <w:rPr>
          <w:rStyle w:val="hps"/>
          <w:rFonts w:ascii="Arial" w:hAnsi="Arial" w:cs="Arial"/>
          <w:lang w:val="en-GB"/>
        </w:rPr>
        <w:t>geographical bias</w:t>
      </w:r>
      <w:r w:rsidRPr="00763118">
        <w:rPr>
          <w:rFonts w:ascii="Arial" w:hAnsi="Arial" w:cs="Arial"/>
          <w:lang w:val="en-GB"/>
        </w:rPr>
        <w:t xml:space="preserve">, </w:t>
      </w:r>
      <w:r w:rsidRPr="00763118">
        <w:rPr>
          <w:rStyle w:val="hps"/>
          <w:rFonts w:ascii="Arial" w:hAnsi="Arial" w:cs="Arial"/>
          <w:lang w:val="en-GB"/>
        </w:rPr>
        <w:t>since for a specific product the</w:t>
      </w:r>
      <w:r w:rsidRPr="00763118">
        <w:rPr>
          <w:rFonts w:ascii="Arial" w:hAnsi="Arial" w:cs="Arial"/>
          <w:lang w:val="en-GB"/>
        </w:rPr>
        <w:t xml:space="preserve"> </w:t>
      </w:r>
      <w:r w:rsidRPr="00763118">
        <w:rPr>
          <w:rStyle w:val="hps"/>
          <w:rFonts w:ascii="Arial" w:hAnsi="Arial" w:cs="Arial"/>
          <w:lang w:val="en-GB"/>
        </w:rPr>
        <w:t>exports made by the country</w:t>
      </w:r>
      <w:r w:rsidRPr="00763118">
        <w:rPr>
          <w:rStyle w:val="hps"/>
          <w:rFonts w:ascii="Arial" w:hAnsi="Arial" w:cs="Arial"/>
          <w:i/>
          <w:lang w:val="en-GB"/>
        </w:rPr>
        <w:t xml:space="preserve"> </w:t>
      </w:r>
      <w:proofErr w:type="spellStart"/>
      <w:r w:rsidRPr="00763118">
        <w:rPr>
          <w:rStyle w:val="hps"/>
          <w:rFonts w:ascii="Arial" w:hAnsi="Arial" w:cs="Arial"/>
          <w:i/>
          <w:lang w:val="en-GB"/>
        </w:rPr>
        <w:t>i</w:t>
      </w:r>
      <w:proofErr w:type="spellEnd"/>
      <w:r w:rsidRPr="00763118">
        <w:rPr>
          <w:rFonts w:ascii="Arial" w:hAnsi="Arial" w:cs="Arial"/>
          <w:lang w:val="en-GB"/>
        </w:rPr>
        <w:t xml:space="preserve"> </w:t>
      </w:r>
      <w:r w:rsidRPr="00763118">
        <w:rPr>
          <w:rStyle w:val="hps"/>
          <w:rFonts w:ascii="Arial" w:hAnsi="Arial" w:cs="Arial"/>
          <w:lang w:val="en-GB"/>
        </w:rPr>
        <w:t>in the total exported are superior</w:t>
      </w:r>
      <w:r w:rsidRPr="00763118">
        <w:rPr>
          <w:rFonts w:ascii="Arial" w:hAnsi="Arial" w:cs="Arial"/>
          <w:lang w:val="en-GB"/>
        </w:rPr>
        <w:t xml:space="preserve"> </w:t>
      </w:r>
      <w:r w:rsidRPr="00763118">
        <w:rPr>
          <w:rStyle w:val="hps"/>
          <w:rFonts w:ascii="Arial" w:hAnsi="Arial" w:cs="Arial"/>
          <w:lang w:val="en-GB"/>
        </w:rPr>
        <w:t>to the imports</w:t>
      </w:r>
      <w:r w:rsidRPr="00763118">
        <w:rPr>
          <w:rFonts w:ascii="Arial" w:hAnsi="Arial" w:cs="Arial"/>
          <w:lang w:val="en-GB"/>
        </w:rPr>
        <w:t xml:space="preserve"> </w:t>
      </w:r>
      <w:r w:rsidRPr="00763118">
        <w:rPr>
          <w:rStyle w:val="hps"/>
          <w:rFonts w:ascii="Arial" w:hAnsi="Arial" w:cs="Arial"/>
          <w:lang w:val="en-GB"/>
        </w:rPr>
        <w:t>made by the partner</w:t>
      </w:r>
      <w:r w:rsidRPr="00763118">
        <w:rPr>
          <w:rFonts w:ascii="Arial" w:hAnsi="Arial" w:cs="Arial"/>
          <w:lang w:val="en-GB"/>
        </w:rPr>
        <w:t xml:space="preserve"> from</w:t>
      </w:r>
      <w:r w:rsidRPr="00763118">
        <w:rPr>
          <w:rStyle w:val="hps"/>
          <w:rFonts w:ascii="Arial" w:hAnsi="Arial" w:cs="Arial"/>
          <w:lang w:val="en-GB"/>
        </w:rPr>
        <w:t xml:space="preserve"> the world. If it is negative, it means that there is room to expand exports to the specific market. </w:t>
      </w:r>
    </w:p>
    <w:p w:rsidR="00F152F8" w:rsidRPr="00763118" w:rsidRDefault="00F152F8" w:rsidP="004455CB">
      <w:pPr>
        <w:spacing w:after="0" w:line="240" w:lineRule="auto"/>
        <w:ind w:firstLine="567"/>
        <w:jc w:val="both"/>
        <w:rPr>
          <w:rStyle w:val="hps"/>
          <w:rFonts w:ascii="Arial" w:hAnsi="Arial" w:cs="Arial"/>
          <w:lang w:val="en-GB"/>
        </w:rPr>
      </w:pPr>
      <w:r w:rsidRPr="00763118">
        <w:rPr>
          <w:rStyle w:val="hps"/>
          <w:rFonts w:ascii="Arial" w:hAnsi="Arial" w:cs="Arial"/>
          <w:lang w:val="en-GB"/>
        </w:rPr>
        <w:t>The indexes results can be combined, thus creating the following four possible scenarios</w:t>
      </w:r>
      <w:r w:rsidR="00FF6D3B" w:rsidRPr="00763118">
        <w:rPr>
          <w:rStyle w:val="hps"/>
          <w:rFonts w:ascii="Arial" w:hAnsi="Arial" w:cs="Arial"/>
          <w:lang w:val="en-GB"/>
        </w:rPr>
        <w:t xml:space="preserve"> (Castilho, 2003</w:t>
      </w:r>
      <w:r w:rsidR="0008217A" w:rsidRPr="00763118">
        <w:rPr>
          <w:rStyle w:val="hps"/>
          <w:rFonts w:ascii="Arial" w:hAnsi="Arial" w:cs="Arial"/>
          <w:lang w:val="en-GB"/>
        </w:rPr>
        <w:t>, adapted by Coutinho and Fontoura, 2012</w:t>
      </w:r>
      <w:r w:rsidR="00FF6D3B" w:rsidRPr="00763118">
        <w:rPr>
          <w:rStyle w:val="hps"/>
          <w:rFonts w:ascii="Arial" w:hAnsi="Arial" w:cs="Arial"/>
          <w:lang w:val="en-GB"/>
        </w:rPr>
        <w:t>):</w:t>
      </w:r>
    </w:p>
    <w:p w:rsidR="00F152F8" w:rsidRPr="00763118" w:rsidRDefault="00F152F8" w:rsidP="004455CB">
      <w:pPr>
        <w:spacing w:after="0" w:line="240" w:lineRule="auto"/>
        <w:ind w:firstLine="567"/>
        <w:jc w:val="both"/>
        <w:rPr>
          <w:rStyle w:val="hps"/>
          <w:rFonts w:ascii="Arial" w:hAnsi="Arial" w:cs="Arial"/>
          <w:lang w:val="en-GB"/>
        </w:rPr>
      </w:pPr>
    </w:p>
    <w:p w:rsidR="00FF6D3B" w:rsidRPr="00763118" w:rsidRDefault="00B81348" w:rsidP="00B81348">
      <w:pPr>
        <w:spacing w:after="0" w:line="240" w:lineRule="auto"/>
        <w:ind w:firstLine="567"/>
        <w:jc w:val="center"/>
        <w:rPr>
          <w:rFonts w:ascii="Arial" w:hAnsi="Arial" w:cs="Arial"/>
          <w:b/>
        </w:rPr>
      </w:pPr>
      <w:proofErr w:type="gramStart"/>
      <w:r>
        <w:rPr>
          <w:rFonts w:ascii="Arial" w:hAnsi="Arial" w:cs="Arial"/>
          <w:b/>
        </w:rPr>
        <w:t>Table 2</w:t>
      </w:r>
      <w:r w:rsidR="00181BD8">
        <w:rPr>
          <w:rFonts w:ascii="Arial" w:hAnsi="Arial" w:cs="Arial"/>
          <w:b/>
        </w:rPr>
        <w:t>.</w:t>
      </w:r>
      <w:proofErr w:type="gramEnd"/>
      <w:r>
        <w:rPr>
          <w:rFonts w:ascii="Arial" w:hAnsi="Arial" w:cs="Arial"/>
          <w:b/>
        </w:rPr>
        <w:t xml:space="preserve"> Four possible scenarios of TCI and GOI combined</w:t>
      </w:r>
    </w:p>
    <w:tbl>
      <w:tblPr>
        <w:tblStyle w:val="Tabelacomgrelha"/>
        <w:tblW w:w="0" w:type="auto"/>
        <w:jc w:val="center"/>
        <w:tblLook w:val="04A0"/>
      </w:tblPr>
      <w:tblGrid>
        <w:gridCol w:w="4322"/>
        <w:gridCol w:w="4322"/>
      </w:tblGrid>
      <w:tr w:rsidR="001C5448" w:rsidRPr="00763118" w:rsidTr="00566A54">
        <w:trPr>
          <w:jc w:val="center"/>
        </w:trPr>
        <w:tc>
          <w:tcPr>
            <w:tcW w:w="4322" w:type="dxa"/>
          </w:tcPr>
          <w:p w:rsidR="001C5448" w:rsidRPr="00763118" w:rsidRDefault="001C5448" w:rsidP="004455CB">
            <w:pPr>
              <w:spacing w:after="0" w:line="240" w:lineRule="auto"/>
              <w:jc w:val="center"/>
              <w:rPr>
                <w:rFonts w:ascii="Arial" w:hAnsi="Arial" w:cs="Arial"/>
                <w:b/>
              </w:rPr>
            </w:pPr>
            <w:r w:rsidRPr="00763118">
              <w:rPr>
                <w:rFonts w:ascii="Arial" w:hAnsi="Arial" w:cs="Arial"/>
                <w:b/>
              </w:rPr>
              <w:t>TCI &gt; 1 and GOI &gt; 1</w:t>
            </w:r>
          </w:p>
          <w:p w:rsidR="001C5448" w:rsidRPr="00763118" w:rsidRDefault="001C5448" w:rsidP="004455CB">
            <w:pPr>
              <w:spacing w:after="0" w:line="240" w:lineRule="auto"/>
              <w:jc w:val="center"/>
              <w:rPr>
                <w:rFonts w:ascii="Arial" w:hAnsi="Arial" w:cs="Arial"/>
              </w:rPr>
            </w:pPr>
            <w:r w:rsidRPr="00763118">
              <w:rPr>
                <w:rFonts w:ascii="Arial" w:hAnsi="Arial" w:cs="Arial"/>
              </w:rPr>
              <w:t xml:space="preserve">The positive geographical bias reflects the </w:t>
            </w:r>
            <w:proofErr w:type="spellStart"/>
            <w:r w:rsidRPr="00763118">
              <w:rPr>
                <w:rFonts w:ascii="Arial" w:hAnsi="Arial" w:cs="Arial"/>
              </w:rPr>
              <w:t>complementarity</w:t>
            </w:r>
            <w:proofErr w:type="spellEnd"/>
            <w:r w:rsidRPr="00763118">
              <w:rPr>
                <w:rFonts w:ascii="Arial" w:hAnsi="Arial" w:cs="Arial"/>
              </w:rPr>
              <w:t xml:space="preserve"> between both countries.</w:t>
            </w:r>
          </w:p>
        </w:tc>
        <w:tc>
          <w:tcPr>
            <w:tcW w:w="4322" w:type="dxa"/>
          </w:tcPr>
          <w:p w:rsidR="001C5448" w:rsidRPr="00763118" w:rsidRDefault="001C5448" w:rsidP="004455CB">
            <w:pPr>
              <w:spacing w:after="0" w:line="240" w:lineRule="auto"/>
              <w:jc w:val="center"/>
              <w:rPr>
                <w:rFonts w:ascii="Arial" w:hAnsi="Arial" w:cs="Arial"/>
                <w:b/>
              </w:rPr>
            </w:pPr>
            <w:r w:rsidRPr="00763118">
              <w:rPr>
                <w:rFonts w:ascii="Arial" w:hAnsi="Arial" w:cs="Arial"/>
                <w:b/>
              </w:rPr>
              <w:t xml:space="preserve">TCI &lt; 1 and GOI &gt; 1 </w:t>
            </w:r>
          </w:p>
          <w:p w:rsidR="001C5448" w:rsidRPr="00763118" w:rsidRDefault="001C5448" w:rsidP="004455CB">
            <w:pPr>
              <w:spacing w:after="0" w:line="240" w:lineRule="auto"/>
              <w:jc w:val="center"/>
              <w:rPr>
                <w:rFonts w:ascii="Arial" w:hAnsi="Arial" w:cs="Arial"/>
              </w:rPr>
            </w:pPr>
            <w:r w:rsidRPr="00763118">
              <w:rPr>
                <w:rFonts w:ascii="Arial" w:hAnsi="Arial" w:cs="Arial"/>
              </w:rPr>
              <w:t xml:space="preserve">The geographical bias is positive, but it is not justified by the </w:t>
            </w:r>
            <w:proofErr w:type="spellStart"/>
            <w:r w:rsidRPr="00763118">
              <w:rPr>
                <w:rFonts w:ascii="Arial" w:hAnsi="Arial" w:cs="Arial"/>
              </w:rPr>
              <w:t>complementarity</w:t>
            </w:r>
            <w:proofErr w:type="spellEnd"/>
            <w:r w:rsidRPr="00763118">
              <w:rPr>
                <w:rFonts w:ascii="Arial" w:hAnsi="Arial" w:cs="Arial"/>
              </w:rPr>
              <w:t>. There are other factors that reflect the trade.</w:t>
            </w:r>
          </w:p>
        </w:tc>
      </w:tr>
      <w:tr w:rsidR="001C5448" w:rsidRPr="00763118" w:rsidTr="00566A54">
        <w:trPr>
          <w:jc w:val="center"/>
        </w:trPr>
        <w:tc>
          <w:tcPr>
            <w:tcW w:w="4322" w:type="dxa"/>
          </w:tcPr>
          <w:p w:rsidR="001C5448" w:rsidRPr="00763118" w:rsidRDefault="001C5448" w:rsidP="004455CB">
            <w:pPr>
              <w:spacing w:after="0" w:line="240" w:lineRule="auto"/>
              <w:jc w:val="center"/>
              <w:rPr>
                <w:rFonts w:ascii="Arial" w:hAnsi="Arial" w:cs="Arial"/>
                <w:b/>
              </w:rPr>
            </w:pPr>
            <w:r w:rsidRPr="00763118">
              <w:rPr>
                <w:rFonts w:ascii="Arial" w:hAnsi="Arial" w:cs="Arial"/>
                <w:b/>
              </w:rPr>
              <w:t>TCI &gt; 1 and GOI &lt; 1</w:t>
            </w:r>
          </w:p>
          <w:p w:rsidR="001C5448" w:rsidRPr="00763118" w:rsidRDefault="001C5448" w:rsidP="004455CB">
            <w:pPr>
              <w:spacing w:after="0" w:line="240" w:lineRule="auto"/>
              <w:jc w:val="center"/>
              <w:rPr>
                <w:rFonts w:ascii="Arial" w:hAnsi="Arial" w:cs="Arial"/>
              </w:rPr>
            </w:pPr>
            <w:r w:rsidRPr="00763118">
              <w:rPr>
                <w:rFonts w:ascii="Arial" w:hAnsi="Arial" w:cs="Arial"/>
              </w:rPr>
              <w:t xml:space="preserve">There is </w:t>
            </w:r>
            <w:proofErr w:type="spellStart"/>
            <w:r w:rsidRPr="00763118">
              <w:rPr>
                <w:rFonts w:ascii="Arial" w:hAnsi="Arial" w:cs="Arial"/>
              </w:rPr>
              <w:t>complementarity</w:t>
            </w:r>
            <w:proofErr w:type="spellEnd"/>
            <w:r w:rsidRPr="00763118">
              <w:rPr>
                <w:rFonts w:ascii="Arial" w:hAnsi="Arial" w:cs="Arial"/>
              </w:rPr>
              <w:t>, but there is still room for additional trade.</w:t>
            </w:r>
          </w:p>
          <w:p w:rsidR="001C5448" w:rsidRPr="00763118" w:rsidRDefault="001C5448" w:rsidP="004455CB">
            <w:pPr>
              <w:spacing w:after="0" w:line="240" w:lineRule="auto"/>
              <w:jc w:val="center"/>
              <w:rPr>
                <w:rFonts w:ascii="Arial" w:hAnsi="Arial" w:cs="Arial"/>
              </w:rPr>
            </w:pPr>
            <w:r w:rsidRPr="00763118">
              <w:rPr>
                <w:rFonts w:ascii="Arial" w:hAnsi="Arial" w:cs="Arial"/>
              </w:rPr>
              <w:t>It is the trade potential situation.</w:t>
            </w:r>
          </w:p>
        </w:tc>
        <w:tc>
          <w:tcPr>
            <w:tcW w:w="4322" w:type="dxa"/>
          </w:tcPr>
          <w:p w:rsidR="001C5448" w:rsidRPr="00763118" w:rsidRDefault="001C5448" w:rsidP="004455CB">
            <w:pPr>
              <w:spacing w:after="0" w:line="240" w:lineRule="auto"/>
              <w:jc w:val="center"/>
              <w:rPr>
                <w:rFonts w:ascii="Arial" w:hAnsi="Arial" w:cs="Arial"/>
                <w:b/>
              </w:rPr>
            </w:pPr>
            <w:r w:rsidRPr="00763118">
              <w:rPr>
                <w:rFonts w:ascii="Arial" w:hAnsi="Arial" w:cs="Arial"/>
                <w:b/>
              </w:rPr>
              <w:t>TCI &lt; 1 and GOI &lt; 1</w:t>
            </w:r>
          </w:p>
          <w:p w:rsidR="001C5448" w:rsidRPr="00763118" w:rsidRDefault="001C5448" w:rsidP="004455CB">
            <w:pPr>
              <w:spacing w:after="0" w:line="240" w:lineRule="auto"/>
              <w:jc w:val="center"/>
              <w:rPr>
                <w:rFonts w:ascii="Arial" w:hAnsi="Arial" w:cs="Arial"/>
              </w:rPr>
            </w:pPr>
            <w:r w:rsidRPr="00763118">
              <w:rPr>
                <w:rFonts w:ascii="Arial" w:hAnsi="Arial" w:cs="Arial"/>
              </w:rPr>
              <w:t xml:space="preserve">The geographical bias is negative as expected considering the lack of </w:t>
            </w:r>
            <w:proofErr w:type="spellStart"/>
            <w:r w:rsidRPr="00763118">
              <w:rPr>
                <w:rFonts w:ascii="Arial" w:hAnsi="Arial" w:cs="Arial"/>
              </w:rPr>
              <w:t>complementarity</w:t>
            </w:r>
            <w:proofErr w:type="spellEnd"/>
            <w:r w:rsidRPr="00763118">
              <w:rPr>
                <w:rFonts w:ascii="Arial" w:hAnsi="Arial" w:cs="Arial"/>
              </w:rPr>
              <w:t xml:space="preserve"> of both economies.</w:t>
            </w:r>
          </w:p>
        </w:tc>
      </w:tr>
    </w:tbl>
    <w:p w:rsidR="00B81348" w:rsidRDefault="00DB7A10" w:rsidP="00DB7A10">
      <w:pPr>
        <w:tabs>
          <w:tab w:val="left" w:pos="426"/>
        </w:tabs>
        <w:spacing w:after="0" w:line="240" w:lineRule="auto"/>
        <w:ind w:firstLine="567"/>
        <w:jc w:val="center"/>
        <w:rPr>
          <w:rFonts w:ascii="Arial" w:hAnsi="Arial" w:cs="Arial"/>
        </w:rPr>
      </w:pPr>
      <w:r w:rsidRPr="00DB7A10">
        <w:rPr>
          <w:rFonts w:ascii="Arial" w:hAnsi="Arial" w:cs="Arial"/>
          <w:b/>
        </w:rPr>
        <w:t>Source:</w:t>
      </w:r>
      <w:r>
        <w:rPr>
          <w:rFonts w:ascii="Arial" w:hAnsi="Arial" w:cs="Arial"/>
        </w:rPr>
        <w:t xml:space="preserve"> Castilho, 2003, adapted by Coutinho and Fontoura, 2012</w:t>
      </w:r>
    </w:p>
    <w:p w:rsidR="00DB7A10" w:rsidRDefault="00DB7A10" w:rsidP="00DB7A10">
      <w:pPr>
        <w:tabs>
          <w:tab w:val="left" w:pos="426"/>
        </w:tabs>
        <w:spacing w:after="0" w:line="240" w:lineRule="auto"/>
        <w:ind w:firstLine="567"/>
        <w:jc w:val="center"/>
        <w:rPr>
          <w:rFonts w:ascii="Arial" w:hAnsi="Arial" w:cs="Arial"/>
        </w:rPr>
      </w:pPr>
    </w:p>
    <w:p w:rsidR="00612282" w:rsidRPr="00763118" w:rsidRDefault="00612282" w:rsidP="004455CB">
      <w:pPr>
        <w:tabs>
          <w:tab w:val="left" w:pos="426"/>
        </w:tabs>
        <w:spacing w:after="0" w:line="240" w:lineRule="auto"/>
        <w:ind w:firstLine="567"/>
        <w:jc w:val="both"/>
        <w:rPr>
          <w:rFonts w:ascii="Arial" w:hAnsi="Arial" w:cs="Arial"/>
        </w:rPr>
      </w:pPr>
      <w:r w:rsidRPr="00763118">
        <w:rPr>
          <w:rFonts w:ascii="Arial" w:hAnsi="Arial" w:cs="Arial"/>
        </w:rPr>
        <w:t xml:space="preserve">These indexes reveal the potential for trade between the studied areas, which is equally important to define national policies. In order to verify potential trade, it is required that GOI is below 1 and TCI above 1 (Castilho, 2003). Thereby, we have </w:t>
      </w:r>
      <w:proofErr w:type="spellStart"/>
      <w:r w:rsidRPr="00763118">
        <w:rPr>
          <w:rFonts w:ascii="Arial" w:hAnsi="Arial" w:cs="Arial"/>
        </w:rPr>
        <w:t>complementarity</w:t>
      </w:r>
      <w:proofErr w:type="spellEnd"/>
      <w:r w:rsidRPr="00763118">
        <w:rPr>
          <w:rFonts w:ascii="Arial" w:hAnsi="Arial" w:cs="Arial"/>
        </w:rPr>
        <w:t xml:space="preserve"> due to trade flows overlap, but the destiny market is still not being fully exploited (Coutinho &amp; Fontoura, 2012).</w:t>
      </w:r>
    </w:p>
    <w:p w:rsidR="00612282" w:rsidRPr="00763118" w:rsidRDefault="00612282" w:rsidP="004455CB">
      <w:pPr>
        <w:tabs>
          <w:tab w:val="left" w:pos="426"/>
        </w:tabs>
        <w:spacing w:after="0" w:line="240" w:lineRule="auto"/>
        <w:ind w:firstLine="567"/>
        <w:jc w:val="both"/>
        <w:rPr>
          <w:rFonts w:ascii="Arial" w:hAnsi="Arial" w:cs="Arial"/>
        </w:rPr>
      </w:pPr>
      <w:r w:rsidRPr="00763118">
        <w:rPr>
          <w:rFonts w:ascii="Arial" w:hAnsi="Arial" w:cs="Arial"/>
        </w:rPr>
        <w:lastRenderedPageBreak/>
        <w:tab/>
        <w:t>It should be noted the existence of a trade potential increase doesn’t necessarily mean that trade will increase. For this, it is necessary a significant change in the productive and transport structures that, for instance, the country may not be able to make.</w:t>
      </w:r>
    </w:p>
    <w:p w:rsidR="001C5448" w:rsidRDefault="00612282" w:rsidP="00566A54">
      <w:pPr>
        <w:tabs>
          <w:tab w:val="left" w:pos="426"/>
        </w:tabs>
        <w:spacing w:after="0" w:line="240" w:lineRule="auto"/>
        <w:ind w:firstLine="567"/>
        <w:jc w:val="both"/>
        <w:rPr>
          <w:rFonts w:ascii="Arial" w:hAnsi="Arial" w:cs="Arial"/>
        </w:rPr>
      </w:pPr>
      <w:r w:rsidRPr="00763118">
        <w:rPr>
          <w:rFonts w:ascii="Arial" w:hAnsi="Arial" w:cs="Arial"/>
        </w:rPr>
        <w:tab/>
        <w:t xml:space="preserve">In a globalized economy, imports and exports have played an important role in increasing the wealth of the country, revealing that trade allows to maximize the product growth (Crespo &amp; Fontoura, 2011). For such reason is export performance so important </w:t>
      </w:r>
      <w:r w:rsidR="00566A54">
        <w:rPr>
          <w:rFonts w:ascii="Arial" w:hAnsi="Arial" w:cs="Arial"/>
        </w:rPr>
        <w:t>for national economic policies.</w:t>
      </w:r>
    </w:p>
    <w:p w:rsidR="00566A54" w:rsidRPr="00566A54" w:rsidRDefault="00566A54" w:rsidP="00566A54">
      <w:pPr>
        <w:tabs>
          <w:tab w:val="left" w:pos="426"/>
        </w:tabs>
        <w:spacing w:before="220" w:after="220" w:line="240" w:lineRule="auto"/>
        <w:jc w:val="both"/>
        <w:rPr>
          <w:rFonts w:ascii="Arial" w:hAnsi="Arial" w:cs="Arial"/>
          <w:b/>
        </w:rPr>
      </w:pPr>
      <w:r w:rsidRPr="00566A54">
        <w:rPr>
          <w:rFonts w:ascii="Arial" w:hAnsi="Arial" w:cs="Arial"/>
          <w:b/>
        </w:rPr>
        <w:t>IV. EMPIRICAL RESULTS</w:t>
      </w:r>
    </w:p>
    <w:p w:rsidR="0008217A" w:rsidRPr="00763118" w:rsidRDefault="00FF6D3B" w:rsidP="00566A54">
      <w:pPr>
        <w:spacing w:after="0" w:line="240" w:lineRule="auto"/>
        <w:ind w:firstLine="567"/>
        <w:jc w:val="both"/>
        <w:rPr>
          <w:rFonts w:ascii="Arial" w:hAnsi="Arial" w:cs="Arial"/>
        </w:rPr>
      </w:pPr>
      <w:r w:rsidRPr="00763118">
        <w:rPr>
          <w:rFonts w:ascii="Arial" w:hAnsi="Arial" w:cs="Arial"/>
        </w:rPr>
        <w:t>The present study’s database comprises 1256 industrial products, with an aggregation level of 4 digits, grouped into 30 groups, from the International Trade Centre Trade Map Database for the period of 2001 to 2013. The selection of groups was based on Cout</w:t>
      </w:r>
      <w:r w:rsidR="00C1563F" w:rsidRPr="00763118">
        <w:rPr>
          <w:rFonts w:ascii="Arial" w:hAnsi="Arial" w:cs="Arial"/>
        </w:rPr>
        <w:t>inho &amp;</w:t>
      </w:r>
      <w:r w:rsidRPr="00763118">
        <w:rPr>
          <w:rFonts w:ascii="Arial" w:hAnsi="Arial" w:cs="Arial"/>
        </w:rPr>
        <w:t xml:space="preserve"> Fontoura (2012) adaptation of Harmonized System (HS) Rev. 3 from International Trade Centre. The values for exports and imports are expressed in thousands of Euros. The list of groups as we</w:t>
      </w:r>
      <w:r w:rsidR="00571C50" w:rsidRPr="00763118">
        <w:rPr>
          <w:rFonts w:ascii="Arial" w:hAnsi="Arial" w:cs="Arial"/>
        </w:rPr>
        <w:t>ll as the range of products comprising each group</w:t>
      </w:r>
      <w:r w:rsidRPr="00763118">
        <w:rPr>
          <w:rFonts w:ascii="Arial" w:hAnsi="Arial" w:cs="Arial"/>
        </w:rPr>
        <w:t xml:space="preserve"> i</w:t>
      </w:r>
      <w:r w:rsidR="00571C50" w:rsidRPr="00763118">
        <w:rPr>
          <w:rFonts w:ascii="Arial" w:hAnsi="Arial" w:cs="Arial"/>
        </w:rPr>
        <w:t>s</w:t>
      </w:r>
      <w:r w:rsidRPr="00763118">
        <w:rPr>
          <w:rFonts w:ascii="Arial" w:hAnsi="Arial" w:cs="Arial"/>
        </w:rPr>
        <w:t xml:space="preserve"> available in appendix 1.</w:t>
      </w:r>
    </w:p>
    <w:p w:rsidR="00FF6D3B" w:rsidRPr="00566A54" w:rsidRDefault="0008217A" w:rsidP="00566A54">
      <w:pPr>
        <w:spacing w:before="220" w:after="220" w:line="240" w:lineRule="auto"/>
        <w:jc w:val="both"/>
        <w:rPr>
          <w:rFonts w:ascii="Arial" w:hAnsi="Arial" w:cs="Arial"/>
          <w:b/>
        </w:rPr>
      </w:pPr>
      <w:r w:rsidRPr="00566A54">
        <w:rPr>
          <w:rFonts w:ascii="Arial" w:hAnsi="Arial" w:cs="Arial"/>
          <w:b/>
        </w:rPr>
        <w:t>a.</w:t>
      </w:r>
      <w:r w:rsidR="00566A54" w:rsidRPr="00566A54">
        <w:rPr>
          <w:rFonts w:ascii="Arial" w:hAnsi="Arial" w:cs="Arial"/>
          <w:b/>
        </w:rPr>
        <w:t xml:space="preserve"> </w:t>
      </w:r>
      <w:r w:rsidR="00FF6D3B" w:rsidRPr="00566A54">
        <w:rPr>
          <w:rFonts w:ascii="Arial" w:hAnsi="Arial" w:cs="Arial"/>
          <w:b/>
        </w:rPr>
        <w:t>CMS analysis</w:t>
      </w:r>
    </w:p>
    <w:p w:rsidR="00F94B1A" w:rsidRPr="00763118" w:rsidRDefault="00F94B1A" w:rsidP="00566A54">
      <w:pPr>
        <w:spacing w:before="220" w:after="220" w:line="240" w:lineRule="auto"/>
        <w:jc w:val="both"/>
        <w:rPr>
          <w:rFonts w:ascii="Arial" w:hAnsi="Arial" w:cs="Arial"/>
          <w:b/>
        </w:rPr>
      </w:pPr>
      <w:proofErr w:type="spellStart"/>
      <w:r w:rsidRPr="00763118">
        <w:rPr>
          <w:rFonts w:ascii="Arial" w:hAnsi="Arial" w:cs="Arial"/>
          <w:b/>
        </w:rPr>
        <w:t>i</w:t>
      </w:r>
      <w:proofErr w:type="spellEnd"/>
      <w:r w:rsidRPr="00763118">
        <w:rPr>
          <w:rFonts w:ascii="Arial" w:hAnsi="Arial" w:cs="Arial"/>
          <w:b/>
        </w:rPr>
        <w:t xml:space="preserve">. </w:t>
      </w:r>
      <w:r w:rsidR="0087209C" w:rsidRPr="00763118">
        <w:rPr>
          <w:rFonts w:ascii="Arial" w:hAnsi="Arial" w:cs="Arial"/>
          <w:b/>
        </w:rPr>
        <w:t>Portugal</w:t>
      </w:r>
    </w:p>
    <w:p w:rsidR="00612282" w:rsidRPr="008E0AE9" w:rsidRDefault="00612282" w:rsidP="004455CB">
      <w:pPr>
        <w:spacing w:after="0" w:line="240" w:lineRule="auto"/>
        <w:ind w:firstLine="567"/>
        <w:jc w:val="both"/>
        <w:rPr>
          <w:rFonts w:ascii="Arial" w:hAnsi="Arial" w:cs="Arial"/>
        </w:rPr>
      </w:pPr>
      <w:r w:rsidRPr="008E0AE9">
        <w:rPr>
          <w:rFonts w:ascii="Arial" w:hAnsi="Arial" w:cs="Arial"/>
        </w:rPr>
        <w:t>In the whole period, Portugal’s exports grew 45</w:t>
      </w:r>
      <w:proofErr w:type="gramStart"/>
      <w:r w:rsidRPr="008E0AE9">
        <w:rPr>
          <w:rFonts w:ascii="Arial" w:hAnsi="Arial" w:cs="Arial"/>
        </w:rPr>
        <w:t>,6</w:t>
      </w:r>
      <w:proofErr w:type="gramEnd"/>
      <w:r w:rsidRPr="008E0AE9">
        <w:rPr>
          <w:rFonts w:ascii="Arial" w:hAnsi="Arial" w:cs="Arial"/>
        </w:rPr>
        <w:t xml:space="preserve">%. Between the </w:t>
      </w:r>
      <w:proofErr w:type="spellStart"/>
      <w:r w:rsidRPr="008E0AE9">
        <w:rPr>
          <w:rFonts w:ascii="Arial" w:hAnsi="Arial" w:cs="Arial"/>
        </w:rPr>
        <w:t>subperiods</w:t>
      </w:r>
      <w:proofErr w:type="spellEnd"/>
      <w:r w:rsidRPr="008E0AE9">
        <w:rPr>
          <w:rFonts w:ascii="Arial" w:hAnsi="Arial" w:cs="Arial"/>
        </w:rPr>
        <w:t xml:space="preserve"> there are important differences in the exports variation: while in 2001-2003 the exports growth was 4</w:t>
      </w:r>
      <w:proofErr w:type="gramStart"/>
      <w:r w:rsidRPr="008E0AE9">
        <w:rPr>
          <w:rFonts w:ascii="Arial" w:hAnsi="Arial" w:cs="Arial"/>
        </w:rPr>
        <w:t>,1</w:t>
      </w:r>
      <w:proofErr w:type="gramEnd"/>
      <w:r w:rsidRPr="008E0AE9">
        <w:rPr>
          <w:rFonts w:ascii="Arial" w:hAnsi="Arial" w:cs="Arial"/>
        </w:rPr>
        <w:t xml:space="preserve">%, in 2004-2008 it rose slightly to 7,74%, and in 2009-2013 </w:t>
      </w:r>
      <w:r w:rsidR="00037FE9">
        <w:rPr>
          <w:rFonts w:ascii="Arial" w:hAnsi="Arial" w:cs="Arial"/>
        </w:rPr>
        <w:t>it increased notably 42,6%.</w:t>
      </w:r>
    </w:p>
    <w:p w:rsidR="00612282" w:rsidRPr="008E0AE9" w:rsidRDefault="00612282" w:rsidP="004455CB">
      <w:pPr>
        <w:spacing w:after="0" w:line="240" w:lineRule="auto"/>
        <w:ind w:firstLine="567"/>
        <w:jc w:val="both"/>
        <w:rPr>
          <w:rFonts w:ascii="Arial" w:hAnsi="Arial" w:cs="Arial"/>
        </w:rPr>
      </w:pPr>
      <w:r w:rsidRPr="008E0AE9">
        <w:rPr>
          <w:rFonts w:ascii="Arial" w:hAnsi="Arial" w:cs="Arial"/>
        </w:rPr>
        <w:t xml:space="preserve">The groups that had a greater positive export difference, in the whole period of 2001 to 2013, were Mineral Fuels (group 8) and Rubber and Plastic (group 14). In </w:t>
      </w:r>
      <w:proofErr w:type="gramStart"/>
      <w:r w:rsidRPr="008E0AE9">
        <w:rPr>
          <w:rFonts w:ascii="Arial" w:hAnsi="Arial" w:cs="Arial"/>
        </w:rPr>
        <w:t>this</w:t>
      </w:r>
      <w:r w:rsidR="008E0AE9">
        <w:rPr>
          <w:rFonts w:ascii="Arial" w:hAnsi="Arial" w:cs="Arial"/>
        </w:rPr>
        <w:t xml:space="preserve"> groups</w:t>
      </w:r>
      <w:proofErr w:type="gramEnd"/>
      <w:r w:rsidR="008E0AE9">
        <w:rPr>
          <w:rFonts w:ascii="Arial" w:hAnsi="Arial" w:cs="Arial"/>
        </w:rPr>
        <w:t xml:space="preserve">, the endogenous effect, the </w:t>
      </w:r>
      <w:r w:rsidRPr="008E0AE9">
        <w:rPr>
          <w:rFonts w:ascii="Arial" w:hAnsi="Arial" w:cs="Arial"/>
        </w:rPr>
        <w:t>competitiveness</w:t>
      </w:r>
      <w:r w:rsidR="008E0AE9">
        <w:rPr>
          <w:rFonts w:ascii="Arial" w:hAnsi="Arial" w:cs="Arial"/>
        </w:rPr>
        <w:t xml:space="preserve"> effect</w:t>
      </w:r>
      <w:r w:rsidRPr="008E0AE9">
        <w:rPr>
          <w:rFonts w:ascii="Arial" w:hAnsi="Arial" w:cs="Arial"/>
        </w:rPr>
        <w:t>, played a key role. Although the sum of exogenous effects was positive - with a special role to the scale effect - the competitiveness effect determined a difference greater than the double of sum of the other effects (scale, product and market effect)</w:t>
      </w:r>
      <w:r w:rsidR="00037FE9">
        <w:rPr>
          <w:rFonts w:ascii="Arial" w:hAnsi="Arial" w:cs="Arial"/>
        </w:rPr>
        <w:t xml:space="preserve"> (see table 3).</w:t>
      </w:r>
    </w:p>
    <w:p w:rsidR="00612282" w:rsidRPr="008E0AE9" w:rsidRDefault="00612282" w:rsidP="004455CB">
      <w:pPr>
        <w:spacing w:after="0" w:line="240" w:lineRule="auto"/>
        <w:ind w:firstLine="567"/>
        <w:jc w:val="both"/>
        <w:rPr>
          <w:rFonts w:ascii="Arial" w:hAnsi="Arial" w:cs="Arial"/>
        </w:rPr>
      </w:pPr>
      <w:r w:rsidRPr="008E0AE9">
        <w:rPr>
          <w:rFonts w:ascii="Arial" w:hAnsi="Arial" w:cs="Arial"/>
        </w:rPr>
        <w:t xml:space="preserve">Regarding the </w:t>
      </w:r>
      <w:proofErr w:type="spellStart"/>
      <w:r w:rsidRPr="008E0AE9">
        <w:rPr>
          <w:rFonts w:ascii="Arial" w:hAnsi="Arial" w:cs="Arial"/>
        </w:rPr>
        <w:t>subperiods</w:t>
      </w:r>
      <w:proofErr w:type="spellEnd"/>
      <w:r w:rsidRPr="008E0AE9">
        <w:rPr>
          <w:rFonts w:ascii="Arial" w:hAnsi="Arial" w:cs="Arial"/>
        </w:rPr>
        <w:t xml:space="preserve">, both groups had a positive performance in all three </w:t>
      </w:r>
      <w:proofErr w:type="spellStart"/>
      <w:r w:rsidRPr="008E0AE9">
        <w:rPr>
          <w:rFonts w:ascii="Arial" w:hAnsi="Arial" w:cs="Arial"/>
        </w:rPr>
        <w:t>subperiods</w:t>
      </w:r>
      <w:proofErr w:type="spellEnd"/>
      <w:r w:rsidRPr="008E0AE9">
        <w:rPr>
          <w:rFonts w:ascii="Arial" w:hAnsi="Arial" w:cs="Arial"/>
        </w:rPr>
        <w:t xml:space="preserve">. However, the smallest positive variation was registered in the period of 2001 to 2003, whereas the greatest variation was registered in the period of 2009 to 2013. </w:t>
      </w:r>
    </w:p>
    <w:p w:rsidR="00612282" w:rsidRPr="008E0AE9" w:rsidRDefault="00612282" w:rsidP="004455CB">
      <w:pPr>
        <w:spacing w:after="0" w:line="240" w:lineRule="auto"/>
        <w:ind w:firstLine="567"/>
        <w:jc w:val="both"/>
        <w:rPr>
          <w:rFonts w:ascii="Arial" w:hAnsi="Arial" w:cs="Arial"/>
        </w:rPr>
      </w:pPr>
      <w:r w:rsidRPr="008E0AE9">
        <w:rPr>
          <w:rFonts w:ascii="Arial" w:hAnsi="Arial" w:cs="Arial"/>
        </w:rPr>
        <w:t>It is also worth highlighting the significant positive performance of the machinery and automobile industries in the final period of 2009 to 2013. Although both industries had a poor performance in the period of 2004 to 2008, which led, in part to the small positive variation in the overall period of 2001 to 2013, in the final period both industries were able not only to take advantage of the growing global demand in the EU15 market (the scale effect) but also registered greater gains, mostly due to the endogenous improvements, the competitiveness effect.</w:t>
      </w:r>
    </w:p>
    <w:p w:rsidR="00612282" w:rsidRPr="008E0AE9" w:rsidRDefault="00612282" w:rsidP="00566A54">
      <w:pPr>
        <w:spacing w:after="0" w:line="240" w:lineRule="auto"/>
        <w:ind w:firstLine="567"/>
        <w:jc w:val="both"/>
        <w:rPr>
          <w:rFonts w:ascii="Arial" w:hAnsi="Arial" w:cs="Arial"/>
        </w:rPr>
      </w:pPr>
      <w:r w:rsidRPr="008E0AE9">
        <w:rPr>
          <w:rFonts w:ascii="Arial" w:hAnsi="Arial" w:cs="Arial"/>
        </w:rPr>
        <w:t xml:space="preserve">Portuguese traditional sectors (groups 18 to 21) were the most negatively affected in the period of 2001 to 2013. Exception made to Fabric and Fibers (group 18), competitiveness played key role in the negative export performance in the total groups in the other groups. Portugal loss market share in the textile, clothing and footwear industry (groups 19 to 21) as the scale effect was greater than the total effect. Such loss is even more significant in the Clothing and Footwear industries (group 20 and 21) as they were industries in which was verified a significantly positive scale effect. </w:t>
      </w:r>
    </w:p>
    <w:p w:rsidR="0079202D" w:rsidRDefault="00612282" w:rsidP="00566A54">
      <w:pPr>
        <w:spacing w:after="0" w:line="240" w:lineRule="auto"/>
        <w:jc w:val="both"/>
        <w:rPr>
          <w:rFonts w:ascii="Arial" w:hAnsi="Arial" w:cs="Arial"/>
        </w:rPr>
      </w:pPr>
      <w:r w:rsidRPr="008E0AE9">
        <w:rPr>
          <w:rFonts w:ascii="Arial" w:hAnsi="Arial" w:cs="Arial"/>
        </w:rPr>
        <w:tab/>
        <w:t xml:space="preserve">The clothing and footwear industries (group 20 and 21) show an interesting pattern along the period. Both industries suffered an intense decrease in the period of 2001 to 2003, mostly due to the endogenous factors, the competitiveness effect (although the scale and market effect had also a small but negative contribution, in this period, to the footwear industry). In the period of 2004 to 2007 competitiveness played, again, a determinant role in both industries negative performance. Still, the demand growth of the EU15, represented in the scale effect, meant that the export performance was more harshly felt on the loss of market share rather than on the negative variation of exports, especially in the footwear industry in which the negative variation was closer to null. In the final period, from 2009 to </w:t>
      </w:r>
      <w:r w:rsidRPr="008E0AE9">
        <w:rPr>
          <w:rFonts w:ascii="Arial" w:hAnsi="Arial" w:cs="Arial"/>
        </w:rPr>
        <w:lastRenderedPageBreak/>
        <w:t xml:space="preserve">2013, both industries had a positive performance, mostly due to the scale effect and the competitiveness effect. </w:t>
      </w:r>
      <w:r w:rsidR="008E0AE9" w:rsidRPr="008E0AE9">
        <w:rPr>
          <w:rFonts w:ascii="Arial" w:hAnsi="Arial" w:cs="Arial"/>
        </w:rPr>
        <w:t>From 2009 to 2013 the footwear industry regained the volume</w:t>
      </w:r>
      <w:r w:rsidR="00940931">
        <w:rPr>
          <w:rFonts w:ascii="Arial" w:hAnsi="Arial" w:cs="Arial"/>
        </w:rPr>
        <w:t xml:space="preserve"> </w:t>
      </w:r>
      <w:r w:rsidR="002A2287">
        <w:rPr>
          <w:rFonts w:ascii="Arial" w:hAnsi="Arial" w:cs="Arial"/>
        </w:rPr>
        <w:t>of exports of 2001 (see table 3, total effect, 2001-2013 of group 21</w:t>
      </w:r>
      <w:r w:rsidR="008E0AE9" w:rsidRPr="008E0AE9">
        <w:rPr>
          <w:rFonts w:ascii="Arial" w:hAnsi="Arial" w:cs="Arial"/>
        </w:rPr>
        <w:t xml:space="preserve">) mostly due to gains of scale and competitiveness. </w:t>
      </w:r>
      <w:r w:rsidR="0079202D">
        <w:rPr>
          <w:rFonts w:ascii="Arial" w:hAnsi="Arial" w:cs="Arial"/>
        </w:rPr>
        <w:t>The gains in competitiveness are justified by a greater added value in the industry’s production (APICCAPS, 2012)</w:t>
      </w:r>
      <w:r w:rsidR="008E0AE9" w:rsidRPr="008E0AE9">
        <w:rPr>
          <w:rFonts w:ascii="Arial" w:hAnsi="Arial" w:cs="Arial"/>
        </w:rPr>
        <w:t>The footwear industry’s export growth in the last period may be accompanied by the other traditional sectors in the future, if Portugal’s comparative advantages determine its export performance to the European Union in the long run.</w:t>
      </w:r>
      <w:r w:rsidR="002A2287">
        <w:rPr>
          <w:rFonts w:ascii="Arial" w:hAnsi="Arial" w:cs="Arial"/>
        </w:rPr>
        <w:t xml:space="preserve"> </w:t>
      </w:r>
    </w:p>
    <w:p w:rsidR="00940931" w:rsidRDefault="00940931" w:rsidP="00566A54">
      <w:pPr>
        <w:spacing w:after="0" w:line="240" w:lineRule="auto"/>
        <w:jc w:val="both"/>
        <w:rPr>
          <w:rFonts w:ascii="Arial" w:hAnsi="Arial" w:cs="Arial"/>
        </w:rPr>
      </w:pPr>
    </w:p>
    <w:p w:rsidR="008E0AE9" w:rsidRPr="00940931" w:rsidRDefault="00940931" w:rsidP="00940931">
      <w:pPr>
        <w:spacing w:after="0" w:line="240" w:lineRule="auto"/>
        <w:jc w:val="center"/>
        <w:rPr>
          <w:rFonts w:ascii="Arial" w:hAnsi="Arial" w:cs="Arial"/>
          <w:b/>
        </w:rPr>
      </w:pPr>
      <w:proofErr w:type="gramStart"/>
      <w:r w:rsidRPr="00940931">
        <w:rPr>
          <w:rFonts w:ascii="Arial" w:hAnsi="Arial" w:cs="Arial"/>
          <w:b/>
        </w:rPr>
        <w:t>Table 3.</w:t>
      </w:r>
      <w:proofErr w:type="gramEnd"/>
      <w:r w:rsidRPr="00940931">
        <w:rPr>
          <w:rFonts w:ascii="Arial" w:hAnsi="Arial" w:cs="Arial"/>
          <w:b/>
        </w:rPr>
        <w:t xml:space="preserve"> CMS for Portugal to EU15 </w:t>
      </w:r>
    </w:p>
    <w:tbl>
      <w:tblPr>
        <w:tblW w:w="8901" w:type="dxa"/>
        <w:jc w:val="center"/>
        <w:tblCellMar>
          <w:left w:w="70" w:type="dxa"/>
          <w:right w:w="70" w:type="dxa"/>
        </w:tblCellMar>
        <w:tblLook w:val="04A0"/>
      </w:tblPr>
      <w:tblGrid>
        <w:gridCol w:w="452"/>
        <w:gridCol w:w="780"/>
        <w:gridCol w:w="888"/>
        <w:gridCol w:w="846"/>
        <w:gridCol w:w="739"/>
        <w:gridCol w:w="846"/>
        <w:gridCol w:w="906"/>
        <w:gridCol w:w="763"/>
        <w:gridCol w:w="906"/>
        <w:gridCol w:w="856"/>
        <w:gridCol w:w="919"/>
      </w:tblGrid>
      <w:tr w:rsidR="00940931" w:rsidRPr="00940931" w:rsidTr="00267DF6">
        <w:trPr>
          <w:trHeight w:val="300"/>
          <w:jc w:val="center"/>
        </w:trPr>
        <w:tc>
          <w:tcPr>
            <w:tcW w:w="452"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rPr>
                <w:rFonts w:ascii="Times New Roman" w:eastAsia="Times New Roman" w:hAnsi="Times New Roman" w:cs="Times New Roman"/>
                <w:sz w:val="24"/>
                <w:szCs w:val="24"/>
                <w:lang w:val="pt-PT"/>
              </w:rPr>
            </w:pPr>
          </w:p>
        </w:tc>
        <w:tc>
          <w:tcPr>
            <w:tcW w:w="409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 xml:space="preserve">2001 </w:t>
            </w:r>
            <w:r w:rsidR="00037FE9">
              <w:rPr>
                <w:rFonts w:ascii="Arial" w:eastAsia="Times New Roman" w:hAnsi="Arial" w:cs="Arial"/>
                <w:b/>
                <w:bCs/>
                <w:color w:val="000000"/>
                <w:sz w:val="16"/>
                <w:szCs w:val="16"/>
                <w:lang w:val="pt-PT"/>
              </w:rPr>
              <w:t>–</w:t>
            </w:r>
            <w:r w:rsidRPr="00940931">
              <w:rPr>
                <w:rFonts w:ascii="Arial" w:eastAsia="Times New Roman" w:hAnsi="Arial" w:cs="Arial"/>
                <w:b/>
                <w:bCs/>
                <w:color w:val="000000"/>
                <w:sz w:val="16"/>
                <w:szCs w:val="16"/>
                <w:lang w:val="pt-PT"/>
              </w:rPr>
              <w:t xml:space="preserve"> 2013</w:t>
            </w:r>
          </w:p>
        </w:tc>
        <w:tc>
          <w:tcPr>
            <w:tcW w:w="4350" w:type="dxa"/>
            <w:gridSpan w:val="5"/>
            <w:tcBorders>
              <w:top w:val="single" w:sz="8" w:space="0" w:color="auto"/>
              <w:left w:val="nil"/>
              <w:bottom w:val="single" w:sz="8" w:space="0" w:color="auto"/>
              <w:right w:val="single" w:sz="8" w:space="0" w:color="auto"/>
            </w:tcBorders>
            <w:shd w:val="clear" w:color="auto" w:fill="auto"/>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 xml:space="preserve">2001 </w:t>
            </w:r>
            <w:r w:rsidR="00915E04">
              <w:rPr>
                <w:rFonts w:ascii="Arial" w:eastAsia="Times New Roman" w:hAnsi="Arial" w:cs="Arial"/>
                <w:b/>
                <w:bCs/>
                <w:color w:val="000000"/>
                <w:sz w:val="16"/>
                <w:szCs w:val="16"/>
                <w:lang w:val="pt-PT"/>
              </w:rPr>
              <w:t>–</w:t>
            </w:r>
            <w:r w:rsidRPr="00940931">
              <w:rPr>
                <w:rFonts w:ascii="Arial" w:eastAsia="Times New Roman" w:hAnsi="Arial" w:cs="Arial"/>
                <w:b/>
                <w:bCs/>
                <w:color w:val="000000"/>
                <w:sz w:val="16"/>
                <w:szCs w:val="16"/>
                <w:lang w:val="pt-PT"/>
              </w:rPr>
              <w:t xml:space="preserve"> 2003</w:t>
            </w:r>
          </w:p>
        </w:tc>
      </w:tr>
      <w:tr w:rsidR="00940931" w:rsidRPr="00940931" w:rsidTr="00267DF6">
        <w:trPr>
          <w:trHeight w:val="240"/>
          <w:jc w:val="center"/>
        </w:trPr>
        <w:tc>
          <w:tcPr>
            <w:tcW w:w="452"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
        </w:tc>
        <w:tc>
          <w:tcPr>
            <w:tcW w:w="780" w:type="dxa"/>
            <w:tcBorders>
              <w:top w:val="nil"/>
              <w:left w:val="single" w:sz="8" w:space="0" w:color="auto"/>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Total</w:t>
            </w:r>
          </w:p>
        </w:tc>
        <w:tc>
          <w:tcPr>
            <w:tcW w:w="888"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Scale</w:t>
            </w:r>
            <w:proofErr w:type="spellEnd"/>
          </w:p>
        </w:tc>
        <w:tc>
          <w:tcPr>
            <w:tcW w:w="84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Product</w:t>
            </w:r>
            <w:proofErr w:type="spellEnd"/>
          </w:p>
        </w:tc>
        <w:tc>
          <w:tcPr>
            <w:tcW w:w="739"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Market</w:t>
            </w:r>
            <w:proofErr w:type="spellEnd"/>
          </w:p>
        </w:tc>
        <w:tc>
          <w:tcPr>
            <w:tcW w:w="84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Comp</w:t>
            </w:r>
            <w:proofErr w:type="spellEnd"/>
            <w:r w:rsidRPr="00940931">
              <w:rPr>
                <w:rFonts w:ascii="Arial" w:eastAsia="Times New Roman" w:hAnsi="Arial" w:cs="Arial"/>
                <w:b/>
                <w:bCs/>
                <w:color w:val="000000"/>
                <w:sz w:val="16"/>
                <w:szCs w:val="16"/>
                <w:lang w:val="pt-PT"/>
              </w:rPr>
              <w:t>.</w:t>
            </w:r>
          </w:p>
        </w:tc>
        <w:tc>
          <w:tcPr>
            <w:tcW w:w="90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Total</w:t>
            </w:r>
          </w:p>
        </w:tc>
        <w:tc>
          <w:tcPr>
            <w:tcW w:w="763"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Scale</w:t>
            </w:r>
            <w:proofErr w:type="spellEnd"/>
          </w:p>
        </w:tc>
        <w:tc>
          <w:tcPr>
            <w:tcW w:w="90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Product</w:t>
            </w:r>
            <w:proofErr w:type="spellEnd"/>
          </w:p>
        </w:tc>
        <w:tc>
          <w:tcPr>
            <w:tcW w:w="85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Market</w:t>
            </w:r>
            <w:proofErr w:type="spellEnd"/>
          </w:p>
        </w:tc>
        <w:tc>
          <w:tcPr>
            <w:tcW w:w="919"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Comp</w:t>
            </w:r>
            <w:proofErr w:type="spellEnd"/>
            <w:r w:rsidRPr="00940931">
              <w:rPr>
                <w:rFonts w:ascii="Arial" w:eastAsia="Times New Roman" w:hAnsi="Arial" w:cs="Arial"/>
                <w:b/>
                <w:bCs/>
                <w:color w:val="000000"/>
                <w:sz w:val="16"/>
                <w:szCs w:val="16"/>
                <w:lang w:val="pt-PT"/>
              </w:rPr>
              <w:t>.</w:t>
            </w:r>
          </w:p>
        </w:tc>
      </w:tr>
      <w:tr w:rsidR="00940931" w:rsidRPr="00940931" w:rsidTr="00267DF6">
        <w:trPr>
          <w:trHeight w:val="255"/>
          <w:jc w:val="center"/>
        </w:trPr>
        <w:tc>
          <w:tcPr>
            <w:tcW w:w="452" w:type="dxa"/>
            <w:tcBorders>
              <w:top w:val="single" w:sz="12" w:space="0" w:color="auto"/>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w:t>
            </w:r>
          </w:p>
        </w:tc>
        <w:tc>
          <w:tcPr>
            <w:tcW w:w="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423306</w:t>
            </w:r>
          </w:p>
        </w:tc>
        <w:tc>
          <w:tcPr>
            <w:tcW w:w="888"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130101</w:t>
            </w:r>
          </w:p>
        </w:tc>
        <w:tc>
          <w:tcPr>
            <w:tcW w:w="84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-27026</w:t>
            </w:r>
          </w:p>
        </w:tc>
        <w:tc>
          <w:tcPr>
            <w:tcW w:w="739"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-88499</w:t>
            </w:r>
          </w:p>
        </w:tc>
        <w:tc>
          <w:tcPr>
            <w:tcW w:w="846" w:type="dxa"/>
            <w:tcBorders>
              <w:top w:val="single" w:sz="12"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408731</w:t>
            </w:r>
          </w:p>
        </w:tc>
        <w:tc>
          <w:tcPr>
            <w:tcW w:w="90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5041</w:t>
            </w:r>
          </w:p>
        </w:tc>
        <w:tc>
          <w:tcPr>
            <w:tcW w:w="763"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-1588</w:t>
            </w:r>
          </w:p>
        </w:tc>
        <w:tc>
          <w:tcPr>
            <w:tcW w:w="90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-13474</w:t>
            </w:r>
          </w:p>
        </w:tc>
        <w:tc>
          <w:tcPr>
            <w:tcW w:w="85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5512</w:t>
            </w:r>
          </w:p>
        </w:tc>
        <w:tc>
          <w:tcPr>
            <w:tcW w:w="919" w:type="dxa"/>
            <w:tcBorders>
              <w:top w:val="single" w:sz="12"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14591</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140172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96106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-9439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-37155</w:t>
            </w:r>
          </w:p>
        </w:tc>
        <w:tc>
          <w:tcPr>
            <w:tcW w:w="846" w:type="dxa"/>
            <w:tcBorders>
              <w:top w:val="single" w:sz="4"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90660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15817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5134</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529</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-13962</w:t>
            </w:r>
          </w:p>
        </w:tc>
        <w:tc>
          <w:tcPr>
            <w:tcW w:w="919" w:type="dxa"/>
            <w:tcBorders>
              <w:top w:val="single" w:sz="4"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24116</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382417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196436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-16344</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-23184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225509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39444</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6432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186</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33395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195400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70095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38575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31995</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54736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-4294</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7365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5334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4800</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-21792</w:t>
            </w:r>
          </w:p>
        </w:tc>
      </w:tr>
      <w:tr w:rsidR="00940931" w:rsidRPr="00940931" w:rsidTr="00267DF6">
        <w:trPr>
          <w:trHeight w:val="31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600760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244543</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-468</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60020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296665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78039</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33193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-1053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8240</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37658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442175</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302485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-101617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-20373</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261679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59757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2467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12389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2102</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42800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253396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116851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90211</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-2180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48514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14165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-11212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795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1033</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23548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1723203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404190</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120449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379</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1198185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80251</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16679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3820</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60158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610811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179686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125462</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-58952</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364615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83197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-6088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32500</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2824</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53962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342193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334491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-98916</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7057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99561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4405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90684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-8434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-41886</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-35960</w:t>
            </w:r>
          </w:p>
        </w:tc>
      </w:tr>
      <w:tr w:rsidR="00940931" w:rsidRPr="00940931" w:rsidTr="00267DF6">
        <w:trPr>
          <w:trHeight w:val="31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140836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68262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-13106</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-7396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93075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73060</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7654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-1426</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7566</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59265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59284</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13254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10669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3197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32164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15175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3424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968</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10831</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75401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83666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-22986</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-85150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99871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20735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-1402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711</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16998</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4428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1688483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525304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38757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-64836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1189258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244737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11159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7038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20711</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205829</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59921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27526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-36190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982</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67603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-11268</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-10401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-13954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2642</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10445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122554</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137352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-134874</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35769</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84307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-47899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-29124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39244</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37533</w:t>
            </w:r>
          </w:p>
        </w:tc>
      </w:tr>
      <w:tr w:rsidR="00940931" w:rsidRPr="00940931" w:rsidTr="00267DF6">
        <w:trPr>
          <w:trHeight w:val="31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570430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-14384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41422</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11335</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532057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135350</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-13339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72369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5119</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71200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-121733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-168065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16657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5893</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23781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-58993</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250497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-347347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16388</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21468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-140926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-36712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8791</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-12366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-100639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-179773</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-21903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-12257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502</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-146114</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-649101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1343934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188674</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429449</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-2611158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-169507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23390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2582</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111082</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-306562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4992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795739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-200392</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-56740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-533616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-220935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-17568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21897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-27592</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-197672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348033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153445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993</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39377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154219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72354</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-15399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15403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50826</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21523</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385412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75711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-26847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55712</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280836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15422</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-4185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8716</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-14229</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25121</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892171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504435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-27567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-99240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514543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207515</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12415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29165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50716</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115219</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66884</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160759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-8763</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70381</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-155493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-40557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-18745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-5624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34250</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-50438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128435</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65528</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2682</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-17808</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78032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54949</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-10444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8967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4779</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51647</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205157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722810</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-280270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311072</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-548456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27671</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-396829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37198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83723</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303580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71808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1123703</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-396505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92965</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-748355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-74444</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-436233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316141</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116704</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-71055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196440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91188</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-21849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-7862</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134963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67847</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-10244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-4085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-2337</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84512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G30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563393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121662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81261</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63029</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297440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230618</w:t>
            </w: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-15243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40469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41144</w:t>
            </w:r>
          </w:p>
        </w:tc>
        <w:tc>
          <w:tcPr>
            <w:tcW w:w="919"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164247</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ALL</w:t>
            </w:r>
          </w:p>
        </w:tc>
        <w:tc>
          <w:tcPr>
            <w:tcW w:w="7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9781705</w:t>
            </w:r>
          </w:p>
        </w:tc>
        <w:tc>
          <w:tcPr>
            <w:tcW w:w="888"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12226434</w:t>
            </w:r>
          </w:p>
        </w:tc>
        <w:tc>
          <w:tcPr>
            <w:tcW w:w="846"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-5014888</w:t>
            </w:r>
          </w:p>
        </w:tc>
        <w:tc>
          <w:tcPr>
            <w:tcW w:w="739"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636871</w:t>
            </w:r>
          </w:p>
        </w:tc>
        <w:tc>
          <w:tcPr>
            <w:tcW w:w="846" w:type="dxa"/>
            <w:tcBorders>
              <w:top w:val="nil"/>
              <w:left w:val="nil"/>
              <w:bottom w:val="single" w:sz="8"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1933288</w:t>
            </w:r>
          </w:p>
        </w:tc>
        <w:tc>
          <w:tcPr>
            <w:tcW w:w="906" w:type="dxa"/>
            <w:tcBorders>
              <w:top w:val="single" w:sz="4" w:space="0" w:color="auto"/>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871862</w:t>
            </w:r>
          </w:p>
        </w:tc>
        <w:tc>
          <w:tcPr>
            <w:tcW w:w="763"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-324869</w:t>
            </w:r>
          </w:p>
        </w:tc>
        <w:tc>
          <w:tcPr>
            <w:tcW w:w="906"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309745</w:t>
            </w:r>
          </w:p>
        </w:tc>
        <w:tc>
          <w:tcPr>
            <w:tcW w:w="856"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467363</w:t>
            </w:r>
          </w:p>
        </w:tc>
        <w:tc>
          <w:tcPr>
            <w:tcW w:w="919" w:type="dxa"/>
            <w:tcBorders>
              <w:top w:val="nil"/>
              <w:left w:val="nil"/>
              <w:bottom w:val="single" w:sz="8"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419623</w:t>
            </w:r>
          </w:p>
        </w:tc>
      </w:tr>
      <w:tr w:rsidR="00940931" w:rsidRPr="00940931" w:rsidTr="00267DF6">
        <w:trPr>
          <w:trHeight w:val="255"/>
          <w:jc w:val="center"/>
        </w:trPr>
        <w:tc>
          <w:tcPr>
            <w:tcW w:w="452"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p>
        </w:tc>
        <w:tc>
          <w:tcPr>
            <w:tcW w:w="780"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888"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846"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739"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846"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906"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763"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906"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856"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919"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r>
      <w:tr w:rsidR="00940931" w:rsidRPr="00940931" w:rsidTr="00267DF6">
        <w:trPr>
          <w:trHeight w:val="240"/>
          <w:jc w:val="center"/>
        </w:trPr>
        <w:tc>
          <w:tcPr>
            <w:tcW w:w="452"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Times New Roman" w:eastAsia="Times New Roman" w:hAnsi="Times New Roman" w:cs="Times New Roman"/>
                <w:sz w:val="20"/>
                <w:szCs w:val="20"/>
                <w:lang w:val="pt-PT"/>
              </w:rPr>
            </w:pPr>
          </w:p>
        </w:tc>
        <w:tc>
          <w:tcPr>
            <w:tcW w:w="409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 xml:space="preserve">2004 </w:t>
            </w:r>
            <w:r w:rsidR="00037FE9">
              <w:rPr>
                <w:rFonts w:ascii="Arial" w:eastAsia="Times New Roman" w:hAnsi="Arial" w:cs="Arial"/>
                <w:b/>
                <w:bCs/>
                <w:color w:val="000000"/>
                <w:sz w:val="16"/>
                <w:szCs w:val="16"/>
                <w:lang w:val="pt-PT"/>
              </w:rPr>
              <w:t>–</w:t>
            </w:r>
            <w:r w:rsidRPr="00940931">
              <w:rPr>
                <w:rFonts w:ascii="Arial" w:eastAsia="Times New Roman" w:hAnsi="Arial" w:cs="Arial"/>
                <w:b/>
                <w:bCs/>
                <w:color w:val="000000"/>
                <w:sz w:val="16"/>
                <w:szCs w:val="16"/>
                <w:lang w:val="pt-PT"/>
              </w:rPr>
              <w:t xml:space="preserve"> 2008</w:t>
            </w:r>
          </w:p>
        </w:tc>
        <w:tc>
          <w:tcPr>
            <w:tcW w:w="4350" w:type="dxa"/>
            <w:gridSpan w:val="5"/>
            <w:tcBorders>
              <w:top w:val="single" w:sz="8" w:space="0" w:color="auto"/>
              <w:left w:val="nil"/>
              <w:bottom w:val="single" w:sz="8" w:space="0" w:color="auto"/>
              <w:right w:val="single" w:sz="8" w:space="0" w:color="auto"/>
            </w:tcBorders>
            <w:shd w:val="clear" w:color="auto" w:fill="auto"/>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 xml:space="preserve">2009 </w:t>
            </w:r>
            <w:r w:rsidR="00915E04">
              <w:rPr>
                <w:rFonts w:ascii="Arial" w:eastAsia="Times New Roman" w:hAnsi="Arial" w:cs="Arial"/>
                <w:b/>
                <w:bCs/>
                <w:color w:val="000000"/>
                <w:sz w:val="16"/>
                <w:szCs w:val="16"/>
                <w:lang w:val="pt-PT"/>
              </w:rPr>
              <w:t>–</w:t>
            </w:r>
            <w:r w:rsidRPr="00940931">
              <w:rPr>
                <w:rFonts w:ascii="Arial" w:eastAsia="Times New Roman" w:hAnsi="Arial" w:cs="Arial"/>
                <w:b/>
                <w:bCs/>
                <w:color w:val="000000"/>
                <w:sz w:val="16"/>
                <w:szCs w:val="16"/>
                <w:lang w:val="pt-PT"/>
              </w:rPr>
              <w:t xml:space="preserve"> 2013</w:t>
            </w:r>
          </w:p>
        </w:tc>
      </w:tr>
      <w:tr w:rsidR="00940931" w:rsidRPr="00940931" w:rsidTr="00267DF6">
        <w:trPr>
          <w:trHeight w:val="240"/>
          <w:jc w:val="center"/>
        </w:trPr>
        <w:tc>
          <w:tcPr>
            <w:tcW w:w="452" w:type="dxa"/>
            <w:tcBorders>
              <w:top w:val="nil"/>
              <w:left w:val="nil"/>
              <w:bottom w:val="nil"/>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
        </w:tc>
        <w:tc>
          <w:tcPr>
            <w:tcW w:w="780" w:type="dxa"/>
            <w:tcBorders>
              <w:top w:val="nil"/>
              <w:left w:val="single" w:sz="8" w:space="0" w:color="auto"/>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Total</w:t>
            </w:r>
          </w:p>
        </w:tc>
        <w:tc>
          <w:tcPr>
            <w:tcW w:w="888"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Scale</w:t>
            </w:r>
            <w:proofErr w:type="spellEnd"/>
          </w:p>
        </w:tc>
        <w:tc>
          <w:tcPr>
            <w:tcW w:w="84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Product</w:t>
            </w:r>
            <w:proofErr w:type="spellEnd"/>
          </w:p>
        </w:tc>
        <w:tc>
          <w:tcPr>
            <w:tcW w:w="739"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Market</w:t>
            </w:r>
            <w:proofErr w:type="spellEnd"/>
          </w:p>
        </w:tc>
        <w:tc>
          <w:tcPr>
            <w:tcW w:w="84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Comp</w:t>
            </w:r>
            <w:proofErr w:type="spellEnd"/>
            <w:r w:rsidRPr="00940931">
              <w:rPr>
                <w:rFonts w:ascii="Arial" w:eastAsia="Times New Roman" w:hAnsi="Arial" w:cs="Arial"/>
                <w:b/>
                <w:bCs/>
                <w:color w:val="000000"/>
                <w:sz w:val="16"/>
                <w:szCs w:val="16"/>
                <w:lang w:val="pt-PT"/>
              </w:rPr>
              <w:t>.</w:t>
            </w:r>
          </w:p>
        </w:tc>
        <w:tc>
          <w:tcPr>
            <w:tcW w:w="90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Total</w:t>
            </w:r>
          </w:p>
        </w:tc>
        <w:tc>
          <w:tcPr>
            <w:tcW w:w="763"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Scale</w:t>
            </w:r>
            <w:proofErr w:type="spellEnd"/>
          </w:p>
        </w:tc>
        <w:tc>
          <w:tcPr>
            <w:tcW w:w="90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Product</w:t>
            </w:r>
            <w:proofErr w:type="spellEnd"/>
          </w:p>
        </w:tc>
        <w:tc>
          <w:tcPr>
            <w:tcW w:w="856"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Market</w:t>
            </w:r>
            <w:proofErr w:type="spellEnd"/>
          </w:p>
        </w:tc>
        <w:tc>
          <w:tcPr>
            <w:tcW w:w="919" w:type="dxa"/>
            <w:tcBorders>
              <w:top w:val="nil"/>
              <w:left w:val="nil"/>
              <w:bottom w:val="nil"/>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proofErr w:type="spellStart"/>
            <w:r w:rsidRPr="00940931">
              <w:rPr>
                <w:rFonts w:ascii="Arial" w:eastAsia="Times New Roman" w:hAnsi="Arial" w:cs="Arial"/>
                <w:b/>
                <w:bCs/>
                <w:color w:val="000000"/>
                <w:sz w:val="16"/>
                <w:szCs w:val="16"/>
                <w:lang w:val="pt-PT"/>
              </w:rPr>
              <w:t>Comp</w:t>
            </w:r>
            <w:proofErr w:type="spellEnd"/>
            <w:r w:rsidRPr="00940931">
              <w:rPr>
                <w:rFonts w:ascii="Arial" w:eastAsia="Times New Roman" w:hAnsi="Arial" w:cs="Arial"/>
                <w:b/>
                <w:bCs/>
                <w:color w:val="000000"/>
                <w:sz w:val="16"/>
                <w:szCs w:val="16"/>
                <w:lang w:val="pt-PT"/>
              </w:rPr>
              <w:t>.</w:t>
            </w:r>
          </w:p>
        </w:tc>
      </w:tr>
      <w:tr w:rsidR="00940931" w:rsidRPr="00940931" w:rsidTr="00267DF6">
        <w:trPr>
          <w:trHeight w:val="255"/>
          <w:jc w:val="center"/>
        </w:trPr>
        <w:tc>
          <w:tcPr>
            <w:tcW w:w="452" w:type="dxa"/>
            <w:tcBorders>
              <w:top w:val="single" w:sz="12" w:space="0" w:color="auto"/>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w:t>
            </w:r>
          </w:p>
        </w:tc>
        <w:tc>
          <w:tcPr>
            <w:tcW w:w="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113060</w:t>
            </w:r>
          </w:p>
        </w:tc>
        <w:tc>
          <w:tcPr>
            <w:tcW w:w="888"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68387</w:t>
            </w:r>
          </w:p>
        </w:tc>
        <w:tc>
          <w:tcPr>
            <w:tcW w:w="84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-655</w:t>
            </w:r>
          </w:p>
        </w:tc>
        <w:tc>
          <w:tcPr>
            <w:tcW w:w="739"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-29525</w:t>
            </w:r>
          </w:p>
        </w:tc>
        <w:tc>
          <w:tcPr>
            <w:tcW w:w="846" w:type="dxa"/>
            <w:tcBorders>
              <w:top w:val="single" w:sz="12"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74853</w:t>
            </w:r>
          </w:p>
        </w:tc>
        <w:tc>
          <w:tcPr>
            <w:tcW w:w="90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308972</w:t>
            </w:r>
          </w:p>
        </w:tc>
        <w:tc>
          <w:tcPr>
            <w:tcW w:w="763"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76250</w:t>
            </w:r>
          </w:p>
        </w:tc>
        <w:tc>
          <w:tcPr>
            <w:tcW w:w="90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9069</w:t>
            </w:r>
          </w:p>
        </w:tc>
        <w:tc>
          <w:tcPr>
            <w:tcW w:w="856" w:type="dxa"/>
            <w:tcBorders>
              <w:top w:val="single" w:sz="12"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-26888</w:t>
            </w:r>
          </w:p>
        </w:tc>
        <w:tc>
          <w:tcPr>
            <w:tcW w:w="919" w:type="dxa"/>
            <w:tcBorders>
              <w:top w:val="single" w:sz="12" w:space="0" w:color="auto"/>
              <w:left w:val="nil"/>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250541</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62181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46940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-7544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50324</w:t>
            </w:r>
          </w:p>
        </w:tc>
        <w:tc>
          <w:tcPr>
            <w:tcW w:w="846" w:type="dxa"/>
            <w:tcBorders>
              <w:top w:val="single" w:sz="4" w:space="0" w:color="auto"/>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-27539</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65712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83112</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9610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-64612</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37602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91358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137327</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-12285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51675</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-85359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213839</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139799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-20584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-27534</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122158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lastRenderedPageBreak/>
              <w:t>G4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41522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38283</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12814</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12711</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-22286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142871</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39337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14073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9889</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79572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207774</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127349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23654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56726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230601</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153668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15651</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51080</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10202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304935</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142802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-53113</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36880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178367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167118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185956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-81979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-40011</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103152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230331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184226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12495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4610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29000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72929</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194781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16668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-66408</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-72112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561801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394258</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-35396</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81954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120985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1435148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371833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105895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21454</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935966</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93066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129449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49393</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-7486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-78289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605670</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96258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101033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-13247</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421627</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108248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96004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16749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-4841</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217334</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51308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-12617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45890</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132753</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-943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45871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-439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-5528</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-40846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40273</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61900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-12678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-6387</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-2562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1437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10149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3167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1114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-12994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32025</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17277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-3817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-1866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20431</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-84720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57274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29560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92568</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-264121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153617</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20057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4052</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413</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129095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375003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375173</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-5165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-25090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30085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978002</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629024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-19696</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-37716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406390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2568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13291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-6725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230</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-4229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98048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22746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6856</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-614</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69060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-225098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186542</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-134297</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34044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-311387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369615</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252733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18888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39862</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58133</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-223051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72504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-24340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12238</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-283453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400257</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16011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-14169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-8408</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406822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-96100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-55098</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33390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4566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-78959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98721</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94233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-25175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21101</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8562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G19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13881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-307</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5988</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1626</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6574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49478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12315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5110</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32017</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-603867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613355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10128</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255997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-1483347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642640</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358861</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41222</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18955</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223602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-74735</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256706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-15736</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6424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-322129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487840</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308899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-67862</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9594</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237209</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G22</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203446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205456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-3341</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51651</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-50320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157430</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137064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-34017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-58836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113218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G23</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-36806</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31494</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-23759</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-7804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-36737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331223</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112894</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75808</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-71062</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213583</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G24</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436271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817189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-116415</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-239407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-25096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526803</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376387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-27833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-153029</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331278</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G25</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223937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154651</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-7620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38684</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38222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33399</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178636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-17026</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-17685</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-110526</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G26</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76786</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-14628</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-17523</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-44742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130797</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52263</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-8144</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-18012</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104690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G27</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-430718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749705</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-294761</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9895</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-895556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1285671</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684568</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62267</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8826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530010</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G28</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-112081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502907</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-52660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-60098</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-502230</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900834</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762049</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96489</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-114956</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157252</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G29</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-51159</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41149</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2320</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3757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-98385</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184078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66686</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1583</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6463</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109346</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G30</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675868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339110</w:t>
            </w:r>
          </w:p>
        </w:tc>
        <w:tc>
          <w:tcPr>
            <w:tcW w:w="84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-151062</w:t>
            </w:r>
          </w:p>
        </w:tc>
        <w:tc>
          <w:tcPr>
            <w:tcW w:w="739"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87877</w:t>
            </w:r>
          </w:p>
        </w:tc>
        <w:tc>
          <w:tcPr>
            <w:tcW w:w="846" w:type="dxa"/>
            <w:tcBorders>
              <w:top w:val="nil"/>
              <w:left w:val="nil"/>
              <w:bottom w:val="single" w:sz="4"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399942</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-1027378</w:t>
            </w:r>
          </w:p>
        </w:tc>
        <w:tc>
          <w:tcPr>
            <w:tcW w:w="763"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66937</w:t>
            </w:r>
          </w:p>
        </w:tc>
        <w:tc>
          <w:tcPr>
            <w:tcW w:w="90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44575</w:t>
            </w:r>
          </w:p>
        </w:tc>
        <w:tc>
          <w:tcPr>
            <w:tcW w:w="856" w:type="dxa"/>
            <w:tcBorders>
              <w:top w:val="nil"/>
              <w:left w:val="nil"/>
              <w:bottom w:val="single" w:sz="4"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33538125</w:t>
            </w:r>
          </w:p>
        </w:tc>
        <w:tc>
          <w:tcPr>
            <w:tcW w:w="919" w:type="dxa"/>
            <w:tcBorders>
              <w:top w:val="nil"/>
              <w:left w:val="single" w:sz="4" w:space="0" w:color="auto"/>
              <w:bottom w:val="single" w:sz="4"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-34677015</w:t>
            </w:r>
          </w:p>
        </w:tc>
      </w:tr>
      <w:tr w:rsidR="00940931" w:rsidRPr="00940931" w:rsidTr="00267DF6">
        <w:trPr>
          <w:trHeight w:val="255"/>
          <w:jc w:val="center"/>
        </w:trPr>
        <w:tc>
          <w:tcPr>
            <w:tcW w:w="452" w:type="dxa"/>
            <w:tcBorders>
              <w:top w:val="nil"/>
              <w:left w:val="single" w:sz="12" w:space="0" w:color="auto"/>
              <w:bottom w:val="single" w:sz="12" w:space="0" w:color="auto"/>
              <w:right w:val="nil"/>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b/>
                <w:bCs/>
                <w:color w:val="000000"/>
                <w:sz w:val="16"/>
                <w:szCs w:val="16"/>
                <w:lang w:val="pt-PT"/>
              </w:rPr>
            </w:pPr>
            <w:r w:rsidRPr="00940931">
              <w:rPr>
                <w:rFonts w:ascii="Arial" w:eastAsia="Times New Roman" w:hAnsi="Arial" w:cs="Arial"/>
                <w:b/>
                <w:bCs/>
                <w:color w:val="000000"/>
                <w:sz w:val="16"/>
                <w:szCs w:val="16"/>
                <w:lang w:val="pt-PT"/>
              </w:rPr>
              <w:t>ALL</w:t>
            </w:r>
          </w:p>
        </w:tc>
        <w:tc>
          <w:tcPr>
            <w:tcW w:w="7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1807302</w:t>
            </w:r>
          </w:p>
        </w:tc>
        <w:tc>
          <w:tcPr>
            <w:tcW w:w="888"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8188736</w:t>
            </w:r>
          </w:p>
        </w:tc>
        <w:tc>
          <w:tcPr>
            <w:tcW w:w="846"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-3113696</w:t>
            </w:r>
          </w:p>
        </w:tc>
        <w:tc>
          <w:tcPr>
            <w:tcW w:w="739" w:type="dxa"/>
            <w:tcBorders>
              <w:top w:val="nil"/>
              <w:left w:val="nil"/>
              <w:bottom w:val="single" w:sz="8"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465175</w:t>
            </w:r>
          </w:p>
        </w:tc>
        <w:tc>
          <w:tcPr>
            <w:tcW w:w="846" w:type="dxa"/>
            <w:tcBorders>
              <w:top w:val="nil"/>
              <w:left w:val="nil"/>
              <w:bottom w:val="single" w:sz="8" w:space="0" w:color="auto"/>
              <w:right w:val="single" w:sz="8"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-3732914</w:t>
            </w:r>
          </w:p>
        </w:tc>
        <w:tc>
          <w:tcPr>
            <w:tcW w:w="906" w:type="dxa"/>
            <w:tcBorders>
              <w:top w:val="single" w:sz="4" w:space="0" w:color="auto"/>
              <w:left w:val="nil"/>
              <w:bottom w:val="single" w:sz="12"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9333566</w:t>
            </w:r>
          </w:p>
        </w:tc>
        <w:tc>
          <w:tcPr>
            <w:tcW w:w="763" w:type="dxa"/>
            <w:tcBorders>
              <w:top w:val="single" w:sz="4" w:space="0" w:color="auto"/>
              <w:left w:val="nil"/>
              <w:bottom w:val="single" w:sz="12"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7197510</w:t>
            </w:r>
          </w:p>
        </w:tc>
        <w:tc>
          <w:tcPr>
            <w:tcW w:w="906" w:type="dxa"/>
            <w:tcBorders>
              <w:top w:val="single" w:sz="4" w:space="0" w:color="auto"/>
              <w:left w:val="nil"/>
              <w:bottom w:val="single" w:sz="12"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-1290415</w:t>
            </w:r>
          </w:p>
        </w:tc>
        <w:tc>
          <w:tcPr>
            <w:tcW w:w="856" w:type="dxa"/>
            <w:tcBorders>
              <w:top w:val="single" w:sz="4" w:space="0" w:color="auto"/>
              <w:left w:val="nil"/>
              <w:bottom w:val="single" w:sz="12" w:space="0" w:color="auto"/>
              <w:right w:val="single" w:sz="4"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33044415</w:t>
            </w:r>
          </w:p>
        </w:tc>
        <w:tc>
          <w:tcPr>
            <w:tcW w:w="919" w:type="dxa"/>
            <w:tcBorders>
              <w:top w:val="nil"/>
              <w:left w:val="nil"/>
              <w:bottom w:val="single" w:sz="12" w:space="0" w:color="auto"/>
              <w:right w:val="single" w:sz="12" w:space="0" w:color="auto"/>
            </w:tcBorders>
            <w:shd w:val="clear" w:color="auto" w:fill="auto"/>
            <w:noWrap/>
            <w:vAlign w:val="center"/>
            <w:hideMark/>
          </w:tcPr>
          <w:p w:rsidR="00940931" w:rsidRPr="00940931" w:rsidRDefault="00940931" w:rsidP="00940931">
            <w:pPr>
              <w:spacing w:after="0" w:line="240" w:lineRule="auto"/>
              <w:jc w:val="center"/>
              <w:rPr>
                <w:rFonts w:ascii="Arial" w:eastAsia="Times New Roman" w:hAnsi="Arial" w:cs="Arial"/>
                <w:color w:val="000000"/>
                <w:sz w:val="16"/>
                <w:szCs w:val="16"/>
                <w:lang w:val="pt-PT"/>
              </w:rPr>
            </w:pPr>
            <w:r w:rsidRPr="00940931">
              <w:rPr>
                <w:rFonts w:ascii="Arial" w:eastAsia="Times New Roman" w:hAnsi="Arial" w:cs="Arial"/>
                <w:color w:val="000000"/>
                <w:sz w:val="16"/>
                <w:szCs w:val="16"/>
                <w:lang w:val="pt-PT"/>
              </w:rPr>
              <w:t>-29617944</w:t>
            </w:r>
          </w:p>
        </w:tc>
      </w:tr>
    </w:tbl>
    <w:p w:rsidR="00940931" w:rsidRPr="00763118" w:rsidRDefault="00CE2D82" w:rsidP="00CE2D82">
      <w:pPr>
        <w:spacing w:after="0" w:line="240" w:lineRule="auto"/>
        <w:jc w:val="center"/>
        <w:rPr>
          <w:rFonts w:ascii="Arial" w:hAnsi="Arial" w:cs="Arial"/>
        </w:rPr>
      </w:pPr>
      <w:r w:rsidRPr="00CE2D82">
        <w:rPr>
          <w:rFonts w:ascii="Arial" w:hAnsi="Arial" w:cs="Arial"/>
          <w:sz w:val="18"/>
          <w:szCs w:val="18"/>
        </w:rPr>
        <w:t>Source: Own calculations from INTRACEN Database</w:t>
      </w:r>
    </w:p>
    <w:p w:rsidR="0087209C" w:rsidRPr="00181BD8" w:rsidRDefault="00F94B1A" w:rsidP="00566A54">
      <w:pPr>
        <w:spacing w:before="220" w:after="220" w:line="240" w:lineRule="auto"/>
        <w:jc w:val="both"/>
        <w:rPr>
          <w:rFonts w:ascii="Arial" w:hAnsi="Arial" w:cs="Arial"/>
          <w:b/>
        </w:rPr>
      </w:pPr>
      <w:r w:rsidRPr="00566A54">
        <w:rPr>
          <w:rFonts w:ascii="Arial" w:hAnsi="Arial" w:cs="Arial"/>
          <w:b/>
        </w:rPr>
        <w:t xml:space="preserve">ii. </w:t>
      </w:r>
      <w:r w:rsidR="0087209C" w:rsidRPr="00181BD8">
        <w:rPr>
          <w:rFonts w:ascii="Arial" w:hAnsi="Arial" w:cs="Arial"/>
          <w:b/>
        </w:rPr>
        <w:t>Poland</w:t>
      </w:r>
    </w:p>
    <w:p w:rsidR="00612282" w:rsidRPr="00181BD8" w:rsidRDefault="00612282" w:rsidP="004455CB">
      <w:pPr>
        <w:spacing w:after="0" w:line="240" w:lineRule="auto"/>
        <w:ind w:firstLine="567"/>
        <w:jc w:val="both"/>
        <w:rPr>
          <w:rFonts w:ascii="Arial" w:hAnsi="Arial" w:cs="Arial"/>
        </w:rPr>
      </w:pPr>
      <w:r w:rsidRPr="00181BD8">
        <w:rPr>
          <w:rFonts w:ascii="Arial" w:hAnsi="Arial" w:cs="Arial"/>
        </w:rPr>
        <w:t>Polish spectacular exports’ growth of 215</w:t>
      </w:r>
      <w:proofErr w:type="gramStart"/>
      <w:r w:rsidRPr="00181BD8">
        <w:rPr>
          <w:rFonts w:ascii="Arial" w:hAnsi="Arial" w:cs="Arial"/>
        </w:rPr>
        <w:t>,82</w:t>
      </w:r>
      <w:proofErr w:type="gramEnd"/>
      <w:r w:rsidRPr="00181BD8">
        <w:rPr>
          <w:rFonts w:ascii="Arial" w:hAnsi="Arial" w:cs="Arial"/>
        </w:rPr>
        <w:t>%, is worth highlighting. With a positive growth of 17</w:t>
      </w:r>
      <w:proofErr w:type="gramStart"/>
      <w:r w:rsidRPr="00181BD8">
        <w:rPr>
          <w:rFonts w:ascii="Arial" w:hAnsi="Arial" w:cs="Arial"/>
        </w:rPr>
        <w:t>,13</w:t>
      </w:r>
      <w:proofErr w:type="gramEnd"/>
      <w:r w:rsidRPr="00181BD8">
        <w:rPr>
          <w:rFonts w:ascii="Arial" w:hAnsi="Arial" w:cs="Arial"/>
        </w:rPr>
        <w:t xml:space="preserve">% from 2001 to 2003, the entry to the European Union just accelerated exports’ growth, increasing 77,67 in 2008, </w:t>
      </w:r>
      <w:r w:rsidR="003165AA">
        <w:rPr>
          <w:rFonts w:ascii="Arial" w:hAnsi="Arial" w:cs="Arial"/>
        </w:rPr>
        <w:t>relatively to 2004</w:t>
      </w:r>
      <w:r w:rsidRPr="00181BD8">
        <w:rPr>
          <w:rFonts w:ascii="Arial" w:hAnsi="Arial" w:cs="Arial"/>
        </w:rPr>
        <w:t>. Exports’ growth decelerated in the next period of 2009-2013 but still had a very positive growth of 40</w:t>
      </w:r>
      <w:proofErr w:type="gramStart"/>
      <w:r w:rsidRPr="00181BD8">
        <w:rPr>
          <w:rFonts w:ascii="Arial" w:hAnsi="Arial" w:cs="Arial"/>
        </w:rPr>
        <w:t>,04</w:t>
      </w:r>
      <w:proofErr w:type="gramEnd"/>
      <w:r w:rsidRPr="00181BD8">
        <w:rPr>
          <w:rFonts w:ascii="Arial" w:hAnsi="Arial" w:cs="Arial"/>
        </w:rPr>
        <w:t>% in those 4 year</w:t>
      </w:r>
      <w:r w:rsidR="003165AA">
        <w:rPr>
          <w:rFonts w:ascii="Arial" w:hAnsi="Arial" w:cs="Arial"/>
        </w:rPr>
        <w:t>s</w:t>
      </w:r>
      <w:r w:rsidRPr="00181BD8">
        <w:rPr>
          <w:rFonts w:ascii="Arial" w:hAnsi="Arial" w:cs="Arial"/>
        </w:rPr>
        <w:t xml:space="preserve">. </w:t>
      </w:r>
      <w:r w:rsidRPr="003165AA">
        <w:rPr>
          <w:rFonts w:ascii="Arial" w:hAnsi="Arial" w:cs="Arial"/>
        </w:rPr>
        <w:t>Attending to the market share, the country doubled its European Union’s market shar</w:t>
      </w:r>
      <w:r w:rsidR="003165AA" w:rsidRPr="003165AA">
        <w:rPr>
          <w:rFonts w:ascii="Arial" w:hAnsi="Arial" w:cs="Arial"/>
        </w:rPr>
        <w:t>e from 2001 to 2013 (see table 8</w:t>
      </w:r>
      <w:r w:rsidRPr="003165AA">
        <w:rPr>
          <w:rFonts w:ascii="Arial" w:hAnsi="Arial" w:cs="Arial"/>
        </w:rPr>
        <w:t xml:space="preserve"> of the appendix).</w:t>
      </w:r>
      <w:r w:rsidRPr="00181BD8">
        <w:rPr>
          <w:rFonts w:ascii="Arial" w:hAnsi="Arial" w:cs="Arial"/>
        </w:rPr>
        <w:t xml:space="preserve"> </w:t>
      </w:r>
    </w:p>
    <w:p w:rsidR="00612282" w:rsidRPr="00181BD8" w:rsidRDefault="00612282" w:rsidP="004455CB">
      <w:pPr>
        <w:spacing w:after="0" w:line="240" w:lineRule="auto"/>
        <w:ind w:firstLine="567"/>
        <w:jc w:val="both"/>
        <w:rPr>
          <w:rFonts w:ascii="Arial" w:hAnsi="Arial" w:cs="Arial"/>
        </w:rPr>
      </w:pPr>
      <w:r w:rsidRPr="00181BD8">
        <w:rPr>
          <w:rFonts w:ascii="Arial" w:hAnsi="Arial" w:cs="Arial"/>
        </w:rPr>
        <w:t>Unlike Portugal which witnessed a decrease in the exports of its traditional sector in the overall period, Poland only saw a slight decrease of exports in the fur and leather industry (Group 15) in the period bet</w:t>
      </w:r>
      <w:r w:rsidR="003165AA">
        <w:rPr>
          <w:rFonts w:ascii="Arial" w:hAnsi="Arial" w:cs="Arial"/>
        </w:rPr>
        <w:t>ween 2001 and 2013 (table 4</w:t>
      </w:r>
      <w:r w:rsidRPr="00181BD8">
        <w:rPr>
          <w:rFonts w:ascii="Arial" w:hAnsi="Arial" w:cs="Arial"/>
        </w:rPr>
        <w:t xml:space="preserve">). All the other industries saw their exports growth over this period. </w:t>
      </w:r>
    </w:p>
    <w:p w:rsidR="00612282" w:rsidRPr="00181BD8" w:rsidRDefault="00612282" w:rsidP="004455CB">
      <w:pPr>
        <w:spacing w:after="0" w:line="240" w:lineRule="auto"/>
        <w:ind w:firstLine="567"/>
        <w:jc w:val="both"/>
        <w:rPr>
          <w:rFonts w:ascii="Arial" w:hAnsi="Arial" w:cs="Arial"/>
        </w:rPr>
      </w:pPr>
      <w:r w:rsidRPr="00181BD8">
        <w:rPr>
          <w:rFonts w:ascii="Arial" w:hAnsi="Arial" w:cs="Arial"/>
        </w:rPr>
        <w:t>The negative performance of Poland’s only decreasing group (group 15), in the overall period, is explained by a negative contribution of all effects except the scale effect, which means the global demand in the EU15 market grew for the products of the group in general but several products of the group were less imported (the product effect), as well as specific market destinations imported less of the products in the group (the market effect). The endogenous effect – the competitiveness effect - also registered a negative performance. The poor p</w:t>
      </w:r>
      <w:r w:rsidR="001647C6" w:rsidRPr="00181BD8">
        <w:rPr>
          <w:rFonts w:ascii="Arial" w:hAnsi="Arial" w:cs="Arial"/>
        </w:rPr>
        <w:t>erformance is consistent in all</w:t>
      </w:r>
      <w:r w:rsidRPr="00181BD8">
        <w:rPr>
          <w:rFonts w:ascii="Arial" w:hAnsi="Arial" w:cs="Arial"/>
        </w:rPr>
        <w:t xml:space="preserve"> </w:t>
      </w:r>
      <w:proofErr w:type="spellStart"/>
      <w:r w:rsidRPr="00181BD8">
        <w:rPr>
          <w:rFonts w:ascii="Arial" w:hAnsi="Arial" w:cs="Arial"/>
        </w:rPr>
        <w:t>subperiods</w:t>
      </w:r>
      <w:proofErr w:type="spellEnd"/>
      <w:r w:rsidRPr="00181BD8">
        <w:rPr>
          <w:rFonts w:ascii="Arial" w:hAnsi="Arial" w:cs="Arial"/>
        </w:rPr>
        <w:t>.</w:t>
      </w:r>
    </w:p>
    <w:p w:rsidR="00612282" w:rsidRPr="00181BD8" w:rsidRDefault="00612282" w:rsidP="004455CB">
      <w:pPr>
        <w:spacing w:after="0" w:line="240" w:lineRule="auto"/>
        <w:ind w:firstLine="567"/>
        <w:jc w:val="both"/>
        <w:rPr>
          <w:rFonts w:ascii="Arial" w:hAnsi="Arial" w:cs="Arial"/>
        </w:rPr>
      </w:pPr>
      <w:r w:rsidRPr="00181BD8">
        <w:rPr>
          <w:rFonts w:ascii="Arial" w:hAnsi="Arial" w:cs="Arial"/>
        </w:rPr>
        <w:t xml:space="preserve">The groups that registered the highest positive performance were machinery and </w:t>
      </w:r>
      <w:r w:rsidRPr="006D4F6F">
        <w:rPr>
          <w:rFonts w:ascii="Arial" w:hAnsi="Arial" w:cs="Arial"/>
        </w:rPr>
        <w:t xml:space="preserve">automobile industries (groups 27 and 28), with the automobile industry registering a positive variation over 7 billion </w:t>
      </w:r>
      <w:proofErr w:type="spellStart"/>
      <w:r w:rsidR="006D4F6F" w:rsidRPr="006D4F6F">
        <w:rPr>
          <w:rFonts w:ascii="Arial" w:hAnsi="Arial" w:cs="Arial"/>
        </w:rPr>
        <w:t>euros</w:t>
      </w:r>
      <w:proofErr w:type="spellEnd"/>
      <w:r w:rsidRPr="006D4F6F">
        <w:rPr>
          <w:rFonts w:ascii="Arial" w:hAnsi="Arial" w:cs="Arial"/>
        </w:rPr>
        <w:t xml:space="preserve"> and</w:t>
      </w:r>
      <w:r w:rsidRPr="00181BD8">
        <w:rPr>
          <w:rFonts w:ascii="Arial" w:hAnsi="Arial" w:cs="Arial"/>
        </w:rPr>
        <w:t xml:space="preserve"> the machinery industry registering a positive variation over </w:t>
      </w:r>
      <w:r w:rsidRPr="00181BD8">
        <w:rPr>
          <w:rFonts w:ascii="Arial" w:hAnsi="Arial" w:cs="Arial"/>
        </w:rPr>
        <w:lastRenderedPageBreak/>
        <w:t xml:space="preserve">14 billion </w:t>
      </w:r>
      <w:proofErr w:type="spellStart"/>
      <w:r w:rsidRPr="00181BD8">
        <w:rPr>
          <w:rFonts w:ascii="Arial" w:hAnsi="Arial" w:cs="Arial"/>
        </w:rPr>
        <w:t>euros</w:t>
      </w:r>
      <w:proofErr w:type="spellEnd"/>
      <w:r w:rsidRPr="00181BD8">
        <w:rPr>
          <w:rFonts w:ascii="Arial" w:hAnsi="Arial" w:cs="Arial"/>
        </w:rPr>
        <w:t>. The positive performance in both gro</w:t>
      </w:r>
      <w:r w:rsidR="009D5FBC">
        <w:rPr>
          <w:rFonts w:ascii="Arial" w:hAnsi="Arial" w:cs="Arial"/>
        </w:rPr>
        <w:t>ups can be accounted for all</w:t>
      </w:r>
      <w:r w:rsidRPr="00181BD8">
        <w:rPr>
          <w:rFonts w:ascii="Arial" w:hAnsi="Arial" w:cs="Arial"/>
        </w:rPr>
        <w:t xml:space="preserve"> effects, being the endogenous (competitiveness) effect that accounted the most for the machinery industry and the market effect the one which accounted the most for the automobile industry. The automobile industry registers a decrease of its positive variation along the periods, having, in the final period, a negative performance determined by its negative competitive effect.</w:t>
      </w:r>
    </w:p>
    <w:p w:rsidR="00566A54" w:rsidRDefault="00612282" w:rsidP="00566A54">
      <w:pPr>
        <w:spacing w:after="0" w:line="240" w:lineRule="auto"/>
        <w:ind w:firstLine="567"/>
        <w:jc w:val="both"/>
        <w:rPr>
          <w:rFonts w:ascii="Arial" w:hAnsi="Arial" w:cs="Arial"/>
        </w:rPr>
      </w:pPr>
      <w:r w:rsidRPr="00181BD8">
        <w:rPr>
          <w:rFonts w:ascii="Arial" w:hAnsi="Arial" w:cs="Arial"/>
        </w:rPr>
        <w:t xml:space="preserve">Rubber and Plastic industry must also be highlighted for its positive variation, mostly due to the </w:t>
      </w:r>
      <w:r w:rsidR="009D21E1" w:rsidRPr="00181BD8">
        <w:rPr>
          <w:rFonts w:ascii="Arial" w:hAnsi="Arial" w:cs="Arial"/>
        </w:rPr>
        <w:t>competitiveness</w:t>
      </w:r>
      <w:r w:rsidRPr="00181BD8">
        <w:rPr>
          <w:rFonts w:ascii="Arial" w:hAnsi="Arial" w:cs="Arial"/>
        </w:rPr>
        <w:t xml:space="preserve"> effect, in the period of 2001 to 2013.</w:t>
      </w:r>
      <w:r w:rsidR="00566A54">
        <w:rPr>
          <w:rFonts w:ascii="Arial" w:hAnsi="Arial" w:cs="Arial"/>
        </w:rPr>
        <w:t xml:space="preserve"> </w:t>
      </w:r>
    </w:p>
    <w:p w:rsidR="009D21E1" w:rsidRDefault="009D21E1" w:rsidP="00566A54">
      <w:pPr>
        <w:spacing w:after="0" w:line="240" w:lineRule="auto"/>
        <w:ind w:firstLine="567"/>
        <w:jc w:val="both"/>
        <w:rPr>
          <w:rFonts w:ascii="Arial" w:hAnsi="Arial" w:cs="Arial"/>
        </w:rPr>
      </w:pPr>
    </w:p>
    <w:p w:rsidR="009D21E1" w:rsidRDefault="009D21E1" w:rsidP="009D21E1">
      <w:pPr>
        <w:spacing w:after="0" w:line="240" w:lineRule="auto"/>
        <w:ind w:firstLine="567"/>
        <w:jc w:val="center"/>
        <w:rPr>
          <w:rFonts w:ascii="Arial" w:hAnsi="Arial" w:cs="Arial"/>
        </w:rPr>
      </w:pPr>
      <w:proofErr w:type="gramStart"/>
      <w:r>
        <w:rPr>
          <w:rFonts w:ascii="Arial" w:hAnsi="Arial" w:cs="Arial"/>
          <w:b/>
        </w:rPr>
        <w:t>Table 4.</w:t>
      </w:r>
      <w:proofErr w:type="gramEnd"/>
      <w:r>
        <w:rPr>
          <w:rFonts w:ascii="Arial" w:hAnsi="Arial" w:cs="Arial"/>
          <w:b/>
        </w:rPr>
        <w:t xml:space="preserve"> CMS for Poland</w:t>
      </w:r>
      <w:r w:rsidRPr="00940931">
        <w:rPr>
          <w:rFonts w:ascii="Arial" w:hAnsi="Arial" w:cs="Arial"/>
          <w:b/>
        </w:rPr>
        <w:t xml:space="preserve"> to EU15</w:t>
      </w:r>
    </w:p>
    <w:tbl>
      <w:tblPr>
        <w:tblW w:w="8658" w:type="dxa"/>
        <w:tblInd w:w="70" w:type="dxa"/>
        <w:tblCellMar>
          <w:left w:w="70" w:type="dxa"/>
          <w:right w:w="70" w:type="dxa"/>
        </w:tblCellMar>
        <w:tblLook w:val="04A0"/>
      </w:tblPr>
      <w:tblGrid>
        <w:gridCol w:w="452"/>
        <w:gridCol w:w="852"/>
        <w:gridCol w:w="852"/>
        <w:gridCol w:w="906"/>
        <w:gridCol w:w="763"/>
        <w:gridCol w:w="852"/>
        <w:gridCol w:w="771"/>
        <w:gridCol w:w="834"/>
        <w:gridCol w:w="771"/>
        <w:gridCol w:w="771"/>
        <w:gridCol w:w="834"/>
      </w:tblGrid>
      <w:tr w:rsidR="009D21E1" w:rsidRPr="009D21E1" w:rsidTr="009D21E1">
        <w:trPr>
          <w:trHeight w:val="300"/>
        </w:trPr>
        <w:tc>
          <w:tcPr>
            <w:tcW w:w="452" w:type="dxa"/>
            <w:tcBorders>
              <w:top w:val="nil"/>
              <w:left w:val="nil"/>
              <w:bottom w:val="nil"/>
              <w:right w:val="nil"/>
            </w:tcBorders>
            <w:shd w:val="clear" w:color="auto" w:fill="auto"/>
            <w:noWrap/>
            <w:vAlign w:val="center"/>
            <w:hideMark/>
          </w:tcPr>
          <w:p w:rsidR="009D21E1" w:rsidRPr="00EE1BC8" w:rsidRDefault="009D21E1" w:rsidP="009D21E1">
            <w:pPr>
              <w:spacing w:after="0" w:line="240" w:lineRule="auto"/>
              <w:rPr>
                <w:rFonts w:ascii="Times New Roman" w:eastAsia="Times New Roman" w:hAnsi="Times New Roman" w:cs="Times New Roman"/>
                <w:sz w:val="24"/>
                <w:szCs w:val="24"/>
              </w:rPr>
            </w:pPr>
          </w:p>
        </w:tc>
        <w:tc>
          <w:tcPr>
            <w:tcW w:w="4225"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 xml:space="preserve">2001 </w:t>
            </w:r>
            <w:r w:rsidR="006D4F6F">
              <w:rPr>
                <w:rFonts w:ascii="Arial" w:eastAsia="Times New Roman" w:hAnsi="Arial" w:cs="Arial"/>
                <w:b/>
                <w:bCs/>
                <w:color w:val="000000"/>
                <w:sz w:val="16"/>
                <w:szCs w:val="16"/>
                <w:lang w:val="pt-PT"/>
              </w:rPr>
              <w:t>–</w:t>
            </w:r>
            <w:r w:rsidRPr="009D21E1">
              <w:rPr>
                <w:rFonts w:ascii="Arial" w:eastAsia="Times New Roman" w:hAnsi="Arial" w:cs="Arial"/>
                <w:b/>
                <w:bCs/>
                <w:color w:val="000000"/>
                <w:sz w:val="16"/>
                <w:szCs w:val="16"/>
                <w:lang w:val="pt-PT"/>
              </w:rPr>
              <w:t xml:space="preserve"> 2013</w:t>
            </w:r>
          </w:p>
        </w:tc>
        <w:tc>
          <w:tcPr>
            <w:tcW w:w="3981" w:type="dxa"/>
            <w:gridSpan w:val="5"/>
            <w:tcBorders>
              <w:top w:val="single" w:sz="8" w:space="0" w:color="auto"/>
              <w:left w:val="nil"/>
              <w:bottom w:val="single" w:sz="4" w:space="0" w:color="auto"/>
              <w:right w:val="single" w:sz="8" w:space="0" w:color="000000"/>
            </w:tcBorders>
            <w:shd w:val="clear" w:color="auto" w:fill="auto"/>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 xml:space="preserve">2001 </w:t>
            </w:r>
            <w:r w:rsidR="009D5FBC">
              <w:rPr>
                <w:rFonts w:ascii="Arial" w:eastAsia="Times New Roman" w:hAnsi="Arial" w:cs="Arial"/>
                <w:b/>
                <w:bCs/>
                <w:color w:val="000000"/>
                <w:sz w:val="16"/>
                <w:szCs w:val="16"/>
                <w:lang w:val="pt-PT"/>
              </w:rPr>
              <w:t>–</w:t>
            </w:r>
            <w:r w:rsidRPr="009D21E1">
              <w:rPr>
                <w:rFonts w:ascii="Arial" w:eastAsia="Times New Roman" w:hAnsi="Arial" w:cs="Arial"/>
                <w:b/>
                <w:bCs/>
                <w:color w:val="000000"/>
                <w:sz w:val="16"/>
                <w:szCs w:val="16"/>
                <w:lang w:val="pt-PT"/>
              </w:rPr>
              <w:t xml:space="preserve"> 2003</w:t>
            </w:r>
          </w:p>
        </w:tc>
      </w:tr>
      <w:tr w:rsidR="009D21E1" w:rsidRPr="009D21E1" w:rsidTr="009D21E1">
        <w:trPr>
          <w:trHeight w:val="240"/>
        </w:trPr>
        <w:tc>
          <w:tcPr>
            <w:tcW w:w="452" w:type="dxa"/>
            <w:tcBorders>
              <w:top w:val="nil"/>
              <w:left w:val="nil"/>
              <w:bottom w:val="nil"/>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Scale</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Product</w:t>
            </w:r>
            <w:proofErr w:type="spellEnd"/>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Market</w:t>
            </w:r>
            <w:proofErr w:type="spellEnd"/>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Comp</w:t>
            </w:r>
            <w:proofErr w:type="spellEnd"/>
            <w:r w:rsidRPr="009D21E1">
              <w:rPr>
                <w:rFonts w:ascii="Arial" w:eastAsia="Times New Roman" w:hAnsi="Arial" w:cs="Arial"/>
                <w:b/>
                <w:bCs/>
                <w:color w:val="000000"/>
                <w:sz w:val="16"/>
                <w:szCs w:val="16"/>
                <w:lang w:val="pt-PT"/>
              </w:rPr>
              <w:t>.</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Total</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Scale</w:t>
            </w:r>
            <w:proofErr w:type="spellEnd"/>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Product</w:t>
            </w:r>
            <w:proofErr w:type="spellEnd"/>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Market</w:t>
            </w:r>
            <w:proofErr w:type="spellEnd"/>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Comp</w:t>
            </w:r>
            <w:proofErr w:type="spellEnd"/>
            <w:r w:rsidRPr="009D21E1">
              <w:rPr>
                <w:rFonts w:ascii="Arial" w:eastAsia="Times New Roman" w:hAnsi="Arial" w:cs="Arial"/>
                <w:b/>
                <w:bCs/>
                <w:color w:val="000000"/>
                <w:sz w:val="16"/>
                <w:szCs w:val="16"/>
                <w:lang w:val="pt-PT"/>
              </w:rPr>
              <w:t>.</w:t>
            </w:r>
          </w:p>
        </w:tc>
      </w:tr>
      <w:tr w:rsidR="009D21E1" w:rsidRPr="009D21E1" w:rsidTr="009D21E1">
        <w:trPr>
          <w:trHeight w:val="225"/>
        </w:trPr>
        <w:tc>
          <w:tcPr>
            <w:tcW w:w="452" w:type="dxa"/>
            <w:tcBorders>
              <w:top w:val="single" w:sz="8" w:space="0" w:color="auto"/>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2268615</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224535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-48422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-29458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2121960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122728</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-2741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-8093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-37303</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170865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908782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79904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-12011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-4436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845325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56997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4268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-7457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4790</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55396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1722552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413007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13189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21718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1274639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105002</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13524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50826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4149</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36504</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532037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42583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-8804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-13392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511650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29432</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4474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-6757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-294</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32009</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2317256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365275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42726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172689</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1736567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101554</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49581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-29534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48039</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33467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1851448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60847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-24137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-17002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1831740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7971</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-10195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-6835</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24505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2394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39854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-14696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-9119</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-13645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2800</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-3824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-6561</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12808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2289099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3487807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-1338808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157398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-17298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-397122</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-3510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-79652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1452076</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-1766036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580917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330185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63001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47158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140572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128013</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-11188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32715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-43340</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149826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1287414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308804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-101456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5665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1074401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58058</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83720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-67404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-6682</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48425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1473208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91017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21540</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1359362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123904</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10205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4639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7563</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101498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314466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28839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16721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5656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263250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25507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3260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-817</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23167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581482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22852</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3662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479095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75873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12847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311308</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-298157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5502031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764751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15971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112577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4608732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419052</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16245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13829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-7060</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396038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-16179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107963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-70252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-10820</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-43070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25591</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-40794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1962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15750</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48673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1068824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111371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116160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111271</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730022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186340</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-38838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60035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-21218</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186361</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1572902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-16540</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-27110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24606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1591945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221285</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-15338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-5085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-4840</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246548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46772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-81099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6096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-8795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130571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2493</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120876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-157233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-419</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39269</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179463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-10004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19748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-6039</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175758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24487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-5969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10581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-4006</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23880</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121246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913521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-53851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-93776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-644647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-294147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15899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23244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-125089</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-208202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129592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94763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7478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151728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-124377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-22007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-2092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1901</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-8673</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-13143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1019731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114519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11623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18394</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875195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106302</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-11492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23099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-9736</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104431</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691748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243049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281036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155919</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11745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-39296</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-13434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-39587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12585</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1140</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3907430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1819394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134460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162741</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1790835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193820</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44779</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-25083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-95288</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269412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938813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266688</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-26678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55207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643596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88059</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-31097</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8824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4848</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105484</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798168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73938</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-10021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3727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730523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85856</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-11785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5370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-66</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92337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14503460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1133581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1987478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824076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10558325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1822857</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-622346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634270</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132254</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1678678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7825311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1332743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431902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3137263</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2923403</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1987861</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-522314</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1065195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650515</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794465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764548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69633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37116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33538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624262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80561</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-7822</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12068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-5943</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82257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G30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3553256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594359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375503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62240</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2521155</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470726</w:t>
            </w:r>
          </w:p>
        </w:tc>
        <w:tc>
          <w:tcPr>
            <w:tcW w:w="834"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-74466</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201838</w:t>
            </w:r>
          </w:p>
        </w:tc>
        <w:tc>
          <w:tcPr>
            <w:tcW w:w="771"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-85116</w:t>
            </w:r>
          </w:p>
        </w:tc>
        <w:tc>
          <w:tcPr>
            <w:tcW w:w="834"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428470</w:t>
            </w:r>
          </w:p>
        </w:tc>
      </w:tr>
      <w:tr w:rsidR="009D21E1" w:rsidRPr="009D21E1" w:rsidTr="009D21E1">
        <w:trPr>
          <w:trHeight w:val="240"/>
        </w:trPr>
        <w:tc>
          <w:tcPr>
            <w:tcW w:w="452" w:type="dxa"/>
            <w:tcBorders>
              <w:top w:val="nil"/>
              <w:left w:val="single" w:sz="8" w:space="0" w:color="auto"/>
              <w:bottom w:val="single" w:sz="8"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ALL</w:t>
            </w:r>
          </w:p>
        </w:tc>
        <w:tc>
          <w:tcPr>
            <w:tcW w:w="852" w:type="dxa"/>
            <w:tcBorders>
              <w:top w:val="nil"/>
              <w:left w:val="single" w:sz="8" w:space="0" w:color="auto"/>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58736787</w:t>
            </w:r>
          </w:p>
        </w:tc>
        <w:tc>
          <w:tcPr>
            <w:tcW w:w="852"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13028138</w:t>
            </w:r>
          </w:p>
        </w:tc>
        <w:tc>
          <w:tcPr>
            <w:tcW w:w="906"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1828912</w:t>
            </w:r>
          </w:p>
        </w:tc>
        <w:tc>
          <w:tcPr>
            <w:tcW w:w="763"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5571369</w:t>
            </w:r>
          </w:p>
        </w:tc>
        <w:tc>
          <w:tcPr>
            <w:tcW w:w="852" w:type="dxa"/>
            <w:tcBorders>
              <w:top w:val="nil"/>
              <w:left w:val="nil"/>
              <w:bottom w:val="single" w:sz="8"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38308368</w:t>
            </w:r>
          </w:p>
        </w:tc>
        <w:tc>
          <w:tcPr>
            <w:tcW w:w="771"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5737532</w:t>
            </w:r>
          </w:p>
        </w:tc>
        <w:tc>
          <w:tcPr>
            <w:tcW w:w="834"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-1055468</w:t>
            </w:r>
          </w:p>
        </w:tc>
        <w:tc>
          <w:tcPr>
            <w:tcW w:w="771"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1718033</w:t>
            </w:r>
          </w:p>
        </w:tc>
        <w:tc>
          <w:tcPr>
            <w:tcW w:w="771"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2174591</w:t>
            </w:r>
          </w:p>
        </w:tc>
        <w:tc>
          <w:tcPr>
            <w:tcW w:w="834" w:type="dxa"/>
            <w:tcBorders>
              <w:top w:val="nil"/>
              <w:left w:val="nil"/>
              <w:bottom w:val="single" w:sz="8"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2900376</w:t>
            </w:r>
          </w:p>
        </w:tc>
      </w:tr>
    </w:tbl>
    <w:p w:rsidR="009D21E1" w:rsidRDefault="009D21E1" w:rsidP="00566A54">
      <w:pPr>
        <w:spacing w:after="0" w:line="240" w:lineRule="auto"/>
        <w:ind w:firstLine="567"/>
        <w:jc w:val="both"/>
        <w:rPr>
          <w:rFonts w:ascii="Arial" w:hAnsi="Arial" w:cs="Arial"/>
        </w:rPr>
      </w:pPr>
    </w:p>
    <w:tbl>
      <w:tblPr>
        <w:tblW w:w="8813" w:type="dxa"/>
        <w:tblInd w:w="70" w:type="dxa"/>
        <w:tblCellMar>
          <w:left w:w="70" w:type="dxa"/>
          <w:right w:w="70" w:type="dxa"/>
        </w:tblCellMar>
        <w:tblLook w:val="04A0"/>
      </w:tblPr>
      <w:tblGrid>
        <w:gridCol w:w="452"/>
        <w:gridCol w:w="852"/>
        <w:gridCol w:w="852"/>
        <w:gridCol w:w="763"/>
        <w:gridCol w:w="763"/>
        <w:gridCol w:w="852"/>
        <w:gridCol w:w="852"/>
        <w:gridCol w:w="852"/>
        <w:gridCol w:w="906"/>
        <w:gridCol w:w="763"/>
        <w:gridCol w:w="906"/>
      </w:tblGrid>
      <w:tr w:rsidR="009D21E1" w:rsidRPr="009D21E1" w:rsidTr="009D21E1">
        <w:trPr>
          <w:trHeight w:val="225"/>
        </w:trPr>
        <w:tc>
          <w:tcPr>
            <w:tcW w:w="452" w:type="dxa"/>
            <w:tcBorders>
              <w:top w:val="nil"/>
              <w:left w:val="nil"/>
              <w:bottom w:val="nil"/>
              <w:right w:val="nil"/>
            </w:tcBorders>
            <w:shd w:val="clear" w:color="auto" w:fill="auto"/>
            <w:noWrap/>
            <w:vAlign w:val="center"/>
            <w:hideMark/>
          </w:tcPr>
          <w:p w:rsidR="009D21E1" w:rsidRPr="009D21E1" w:rsidRDefault="009D21E1" w:rsidP="009D21E1">
            <w:pPr>
              <w:spacing w:after="0" w:line="240" w:lineRule="auto"/>
              <w:rPr>
                <w:rFonts w:ascii="Times New Roman" w:eastAsia="Times New Roman" w:hAnsi="Times New Roman" w:cs="Times New Roman"/>
                <w:sz w:val="24"/>
                <w:szCs w:val="24"/>
                <w:lang w:val="pt-PT"/>
              </w:rPr>
            </w:pPr>
          </w:p>
        </w:tc>
        <w:tc>
          <w:tcPr>
            <w:tcW w:w="4082"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 xml:space="preserve">2004 </w:t>
            </w:r>
            <w:r w:rsidR="006D4F6F">
              <w:rPr>
                <w:rFonts w:ascii="Arial" w:eastAsia="Times New Roman" w:hAnsi="Arial" w:cs="Arial"/>
                <w:b/>
                <w:bCs/>
                <w:color w:val="000000"/>
                <w:sz w:val="16"/>
                <w:szCs w:val="16"/>
                <w:lang w:val="pt-PT"/>
              </w:rPr>
              <w:t>–</w:t>
            </w:r>
            <w:r w:rsidRPr="009D21E1">
              <w:rPr>
                <w:rFonts w:ascii="Arial" w:eastAsia="Times New Roman" w:hAnsi="Arial" w:cs="Arial"/>
                <w:b/>
                <w:bCs/>
                <w:color w:val="000000"/>
                <w:sz w:val="16"/>
                <w:szCs w:val="16"/>
                <w:lang w:val="pt-PT"/>
              </w:rPr>
              <w:t xml:space="preserve"> 2008</w:t>
            </w:r>
          </w:p>
        </w:tc>
        <w:tc>
          <w:tcPr>
            <w:tcW w:w="4279" w:type="dxa"/>
            <w:gridSpan w:val="5"/>
            <w:tcBorders>
              <w:top w:val="single" w:sz="8" w:space="0" w:color="auto"/>
              <w:left w:val="nil"/>
              <w:bottom w:val="single" w:sz="4" w:space="0" w:color="auto"/>
              <w:right w:val="single" w:sz="8" w:space="0" w:color="000000"/>
            </w:tcBorders>
            <w:shd w:val="clear" w:color="auto" w:fill="auto"/>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 xml:space="preserve">2009 </w:t>
            </w:r>
            <w:r w:rsidR="009D5FBC">
              <w:rPr>
                <w:rFonts w:ascii="Arial" w:eastAsia="Times New Roman" w:hAnsi="Arial" w:cs="Arial"/>
                <w:b/>
                <w:bCs/>
                <w:color w:val="000000"/>
                <w:sz w:val="16"/>
                <w:szCs w:val="16"/>
                <w:lang w:val="pt-PT"/>
              </w:rPr>
              <w:t>–</w:t>
            </w:r>
            <w:r w:rsidRPr="009D21E1">
              <w:rPr>
                <w:rFonts w:ascii="Arial" w:eastAsia="Times New Roman" w:hAnsi="Arial" w:cs="Arial"/>
                <w:b/>
                <w:bCs/>
                <w:color w:val="000000"/>
                <w:sz w:val="16"/>
                <w:szCs w:val="16"/>
                <w:lang w:val="pt-PT"/>
              </w:rPr>
              <w:t xml:space="preserve"> 2013</w:t>
            </w:r>
          </w:p>
        </w:tc>
      </w:tr>
      <w:tr w:rsidR="009D21E1" w:rsidRPr="009D21E1" w:rsidTr="009D21E1">
        <w:trPr>
          <w:trHeight w:val="240"/>
        </w:trPr>
        <w:tc>
          <w:tcPr>
            <w:tcW w:w="452" w:type="dxa"/>
            <w:tcBorders>
              <w:top w:val="nil"/>
              <w:left w:val="nil"/>
              <w:bottom w:val="nil"/>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Scale</w:t>
            </w:r>
            <w:proofErr w:type="spellEnd"/>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Product</w:t>
            </w:r>
            <w:proofErr w:type="spellEnd"/>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Market</w:t>
            </w:r>
            <w:proofErr w:type="spellEnd"/>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Comp</w:t>
            </w:r>
            <w:proofErr w:type="spellEnd"/>
            <w:r w:rsidRPr="009D21E1">
              <w:rPr>
                <w:rFonts w:ascii="Arial" w:eastAsia="Times New Roman" w:hAnsi="Arial" w:cs="Arial"/>
                <w:b/>
                <w:bCs/>
                <w:color w:val="000000"/>
                <w:sz w:val="16"/>
                <w:szCs w:val="16"/>
                <w:lang w:val="pt-PT"/>
              </w:rPr>
              <w:t>.</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Total</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Scale</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Product</w:t>
            </w:r>
            <w:proofErr w:type="spellEnd"/>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Market</w:t>
            </w:r>
            <w:proofErr w:type="spellEnd"/>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proofErr w:type="spellStart"/>
            <w:r w:rsidRPr="009D21E1">
              <w:rPr>
                <w:rFonts w:ascii="Arial" w:eastAsia="Times New Roman" w:hAnsi="Arial" w:cs="Arial"/>
                <w:b/>
                <w:bCs/>
                <w:color w:val="000000"/>
                <w:sz w:val="16"/>
                <w:szCs w:val="16"/>
                <w:lang w:val="pt-PT"/>
              </w:rPr>
              <w:t>Comp</w:t>
            </w:r>
            <w:proofErr w:type="spellEnd"/>
            <w:r w:rsidRPr="009D21E1">
              <w:rPr>
                <w:rFonts w:ascii="Arial" w:eastAsia="Times New Roman" w:hAnsi="Arial" w:cs="Arial"/>
                <w:b/>
                <w:bCs/>
                <w:color w:val="000000"/>
                <w:sz w:val="16"/>
                <w:szCs w:val="16"/>
                <w:lang w:val="pt-PT"/>
              </w:rPr>
              <w:t>.</w:t>
            </w:r>
          </w:p>
        </w:tc>
      </w:tr>
      <w:tr w:rsidR="009D21E1" w:rsidRPr="009D21E1" w:rsidTr="009D21E1">
        <w:trPr>
          <w:trHeight w:val="225"/>
        </w:trPr>
        <w:tc>
          <w:tcPr>
            <w:tcW w:w="452" w:type="dxa"/>
            <w:tcBorders>
              <w:top w:val="single" w:sz="8" w:space="0" w:color="auto"/>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978233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201106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-3306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155078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625354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999846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367560</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-13937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42420</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603803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482405</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90513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-33024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22868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402048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408513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237034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-12405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-10793</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194677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533910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300912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-55333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52202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236129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915437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447079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-17085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26407</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459036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256489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82148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114546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109332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-49538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228113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138970</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40760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28858</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19525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910535</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250742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5154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54325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600314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1223017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358215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6181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39809</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818812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535916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55547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-37827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2528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515667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861652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265481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308829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64989</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222353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-7159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34567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18706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-59680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17229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16387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-3769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-836</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5447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750443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2176092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-799942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413985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-1039691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2444947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1109881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-379744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-13462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1728273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185953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191323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77148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152181</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-234699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558791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183652</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63127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-7208</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319220</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782848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100860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129654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12967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539368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697856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121285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31933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49824</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494814</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628500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70197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11670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7063</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539570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669555</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273680</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-12384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13913</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394346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lastRenderedPageBreak/>
              <w:t>G12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116659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18133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20649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20576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57300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148997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70591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-15717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-2122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96246</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52246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23402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3936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-1817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26726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472249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37564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6334</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428602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2197788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590982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-50968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98916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1558858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3098619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1489946</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-63922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147741</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1524853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-36511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69244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-69785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4213</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-40183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63701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128803</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122655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1169834</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-1357591</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325341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202089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84298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50144</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-11191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626200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367838</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-105835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134000</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230198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566582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99305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4189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-5417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468506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696943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31766</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-52087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50173</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667091</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36541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-36232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6933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15326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50513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97441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60611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-1696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-7497</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46023</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G19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85483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20166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-8907</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74482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99192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16271</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-4973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11126</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76769</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113673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382871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-11956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-26135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-231107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416639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344537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-10291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159502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-77109</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G21</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31997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31222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-17246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3401</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14619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123030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55272</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20545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66122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-18908</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G22</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498179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165581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-1203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25889</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307913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509277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158458</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90009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17280</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243530</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G23</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266018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72784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138231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85970</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-30967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442190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431702</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-24539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-39154</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74181</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G24</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3249894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2511983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312319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692908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-267315</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2151364</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1515297</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-212337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225842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622562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G25</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500810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302003</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-16697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47488</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168016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582993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456915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-96158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115822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106414</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G26</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361942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108079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-7141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116465</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144538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533659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132154</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-53212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15090</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439627</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G27</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9420233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1778624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1691872</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139243</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5810493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3462821</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4153726</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-954625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380402</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-116682</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G28</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5225733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961761</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860824</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1068202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2334947</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-197509</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3212848</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-198635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-192418</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-3019304</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G29</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318683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49296</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24895</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42012</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202480</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343178</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174225</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-12508</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7576</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173885</w:t>
            </w:r>
          </w:p>
        </w:tc>
      </w:tr>
      <w:tr w:rsidR="009D21E1" w:rsidRPr="009D21E1" w:rsidTr="009D21E1">
        <w:trPr>
          <w:trHeight w:val="225"/>
        </w:trPr>
        <w:tc>
          <w:tcPr>
            <w:tcW w:w="452" w:type="dxa"/>
            <w:tcBorders>
              <w:top w:val="nil"/>
              <w:left w:val="single" w:sz="8" w:space="0" w:color="auto"/>
              <w:bottom w:val="single" w:sz="4"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G30</w:t>
            </w:r>
          </w:p>
        </w:tc>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1296326</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1405119</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-617460</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-75596</w:t>
            </w:r>
          </w:p>
        </w:tc>
        <w:tc>
          <w:tcPr>
            <w:tcW w:w="852"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584263</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1870572</w:t>
            </w:r>
          </w:p>
        </w:tc>
        <w:tc>
          <w:tcPr>
            <w:tcW w:w="852"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131969</w:t>
            </w:r>
          </w:p>
        </w:tc>
        <w:tc>
          <w:tcPr>
            <w:tcW w:w="906"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556767</w:t>
            </w:r>
          </w:p>
        </w:tc>
        <w:tc>
          <w:tcPr>
            <w:tcW w:w="763" w:type="dxa"/>
            <w:tcBorders>
              <w:top w:val="nil"/>
              <w:left w:val="nil"/>
              <w:bottom w:val="single" w:sz="4"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193246</w:t>
            </w:r>
          </w:p>
        </w:tc>
        <w:tc>
          <w:tcPr>
            <w:tcW w:w="906" w:type="dxa"/>
            <w:tcBorders>
              <w:top w:val="nil"/>
              <w:left w:val="nil"/>
              <w:bottom w:val="single" w:sz="4"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988590</w:t>
            </w:r>
          </w:p>
        </w:tc>
      </w:tr>
      <w:tr w:rsidR="009D21E1" w:rsidRPr="009D21E1" w:rsidTr="009D21E1">
        <w:trPr>
          <w:trHeight w:val="240"/>
        </w:trPr>
        <w:tc>
          <w:tcPr>
            <w:tcW w:w="452" w:type="dxa"/>
            <w:tcBorders>
              <w:top w:val="nil"/>
              <w:left w:val="single" w:sz="8" w:space="0" w:color="auto"/>
              <w:bottom w:val="single" w:sz="8" w:space="0" w:color="auto"/>
              <w:right w:val="nil"/>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b/>
                <w:bCs/>
                <w:color w:val="000000"/>
                <w:sz w:val="16"/>
                <w:szCs w:val="16"/>
                <w:lang w:val="pt-PT"/>
              </w:rPr>
            </w:pPr>
            <w:r w:rsidRPr="009D21E1">
              <w:rPr>
                <w:rFonts w:ascii="Arial" w:eastAsia="Times New Roman" w:hAnsi="Arial" w:cs="Arial"/>
                <w:b/>
                <w:bCs/>
                <w:color w:val="000000"/>
                <w:sz w:val="16"/>
                <w:szCs w:val="16"/>
                <w:lang w:val="pt-PT"/>
              </w:rPr>
              <w:t>ALL</w:t>
            </w:r>
          </w:p>
        </w:tc>
        <w:tc>
          <w:tcPr>
            <w:tcW w:w="852" w:type="dxa"/>
            <w:tcBorders>
              <w:top w:val="nil"/>
              <w:left w:val="single" w:sz="8" w:space="0" w:color="auto"/>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30665688</w:t>
            </w:r>
          </w:p>
        </w:tc>
        <w:tc>
          <w:tcPr>
            <w:tcW w:w="852"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12289994</w:t>
            </w:r>
          </w:p>
        </w:tc>
        <w:tc>
          <w:tcPr>
            <w:tcW w:w="763"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1783846</w:t>
            </w:r>
          </w:p>
        </w:tc>
        <w:tc>
          <w:tcPr>
            <w:tcW w:w="763"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3294115</w:t>
            </w:r>
          </w:p>
        </w:tc>
        <w:tc>
          <w:tcPr>
            <w:tcW w:w="852" w:type="dxa"/>
            <w:tcBorders>
              <w:top w:val="nil"/>
              <w:left w:val="nil"/>
              <w:bottom w:val="single" w:sz="8"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13297733</w:t>
            </w:r>
          </w:p>
        </w:tc>
        <w:tc>
          <w:tcPr>
            <w:tcW w:w="852"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24566510</w:t>
            </w:r>
          </w:p>
        </w:tc>
        <w:tc>
          <w:tcPr>
            <w:tcW w:w="852"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16489716</w:t>
            </w:r>
          </w:p>
        </w:tc>
        <w:tc>
          <w:tcPr>
            <w:tcW w:w="906"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-1005307</w:t>
            </w:r>
          </w:p>
        </w:tc>
        <w:tc>
          <w:tcPr>
            <w:tcW w:w="763" w:type="dxa"/>
            <w:tcBorders>
              <w:top w:val="nil"/>
              <w:left w:val="nil"/>
              <w:bottom w:val="single" w:sz="8" w:space="0" w:color="auto"/>
              <w:right w:val="single" w:sz="4"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2692819</w:t>
            </w:r>
          </w:p>
        </w:tc>
        <w:tc>
          <w:tcPr>
            <w:tcW w:w="906" w:type="dxa"/>
            <w:tcBorders>
              <w:top w:val="nil"/>
              <w:left w:val="nil"/>
              <w:bottom w:val="single" w:sz="8" w:space="0" w:color="auto"/>
              <w:right w:val="single" w:sz="8" w:space="0" w:color="auto"/>
            </w:tcBorders>
            <w:shd w:val="clear" w:color="auto" w:fill="auto"/>
            <w:noWrap/>
            <w:vAlign w:val="center"/>
            <w:hideMark/>
          </w:tcPr>
          <w:p w:rsidR="009D21E1" w:rsidRPr="009D21E1" w:rsidRDefault="009D21E1" w:rsidP="009D21E1">
            <w:pPr>
              <w:spacing w:after="0" w:line="240" w:lineRule="auto"/>
              <w:jc w:val="center"/>
              <w:rPr>
                <w:rFonts w:ascii="Arial" w:eastAsia="Times New Roman" w:hAnsi="Arial" w:cs="Arial"/>
                <w:color w:val="000000"/>
                <w:sz w:val="16"/>
                <w:szCs w:val="16"/>
                <w:lang w:val="pt-PT"/>
              </w:rPr>
            </w:pPr>
            <w:r w:rsidRPr="009D21E1">
              <w:rPr>
                <w:rFonts w:ascii="Arial" w:eastAsia="Times New Roman" w:hAnsi="Arial" w:cs="Arial"/>
                <w:color w:val="000000"/>
                <w:sz w:val="16"/>
                <w:szCs w:val="16"/>
                <w:lang w:val="pt-PT"/>
              </w:rPr>
              <w:t>6389282</w:t>
            </w:r>
          </w:p>
        </w:tc>
      </w:tr>
    </w:tbl>
    <w:p w:rsidR="00CE2D82" w:rsidRPr="00763118" w:rsidRDefault="00CE2D82" w:rsidP="00CE2D82">
      <w:pPr>
        <w:spacing w:after="0" w:line="240" w:lineRule="auto"/>
        <w:jc w:val="center"/>
        <w:rPr>
          <w:rFonts w:ascii="Arial" w:hAnsi="Arial" w:cs="Arial"/>
        </w:rPr>
      </w:pPr>
      <w:r w:rsidRPr="00CE2D82">
        <w:rPr>
          <w:rFonts w:ascii="Arial" w:hAnsi="Arial" w:cs="Arial"/>
          <w:sz w:val="18"/>
          <w:szCs w:val="18"/>
        </w:rPr>
        <w:t>Source: Own calculations from INTRACEN Database</w:t>
      </w:r>
    </w:p>
    <w:p w:rsidR="00267DF6" w:rsidRPr="00566A54" w:rsidRDefault="00267DF6" w:rsidP="00566A54">
      <w:pPr>
        <w:spacing w:after="0" w:line="240" w:lineRule="auto"/>
        <w:ind w:firstLine="567"/>
        <w:jc w:val="both"/>
        <w:rPr>
          <w:rFonts w:ascii="Arial" w:hAnsi="Arial" w:cs="Arial"/>
        </w:rPr>
      </w:pPr>
    </w:p>
    <w:p w:rsidR="00612282" w:rsidRPr="00763118" w:rsidRDefault="00612282" w:rsidP="00566A54">
      <w:pPr>
        <w:spacing w:before="220" w:after="220" w:line="240" w:lineRule="auto"/>
        <w:rPr>
          <w:rFonts w:ascii="Arial" w:hAnsi="Arial" w:cs="Arial"/>
          <w:b/>
        </w:rPr>
      </w:pPr>
      <w:r w:rsidRPr="00763118">
        <w:rPr>
          <w:rFonts w:ascii="Arial" w:hAnsi="Arial" w:cs="Arial"/>
          <w:b/>
        </w:rPr>
        <w:t xml:space="preserve">b. Trade </w:t>
      </w:r>
      <w:proofErr w:type="spellStart"/>
      <w:r w:rsidRPr="00763118">
        <w:rPr>
          <w:rFonts w:ascii="Arial" w:hAnsi="Arial" w:cs="Arial"/>
          <w:b/>
        </w:rPr>
        <w:t>Complementarity</w:t>
      </w:r>
      <w:proofErr w:type="spellEnd"/>
      <w:r w:rsidRPr="00763118">
        <w:rPr>
          <w:rFonts w:ascii="Arial" w:hAnsi="Arial" w:cs="Arial"/>
          <w:b/>
        </w:rPr>
        <w:t xml:space="preserve"> Index and Geographical Orientation Index- Trade growth potential</w:t>
      </w:r>
    </w:p>
    <w:p w:rsidR="00612282" w:rsidRPr="00763118" w:rsidRDefault="00612282" w:rsidP="00566A54">
      <w:pPr>
        <w:spacing w:before="220" w:after="220" w:line="240" w:lineRule="auto"/>
        <w:rPr>
          <w:rFonts w:ascii="Arial" w:hAnsi="Arial" w:cs="Arial"/>
          <w:b/>
        </w:rPr>
      </w:pPr>
      <w:proofErr w:type="spellStart"/>
      <w:r w:rsidRPr="00763118">
        <w:rPr>
          <w:rFonts w:ascii="Arial" w:hAnsi="Arial" w:cs="Arial"/>
          <w:b/>
        </w:rPr>
        <w:t>i</w:t>
      </w:r>
      <w:proofErr w:type="spellEnd"/>
      <w:r w:rsidRPr="00763118">
        <w:rPr>
          <w:rFonts w:ascii="Arial" w:hAnsi="Arial" w:cs="Arial"/>
          <w:b/>
        </w:rPr>
        <w:t>. Portugal</w:t>
      </w:r>
    </w:p>
    <w:p w:rsidR="002D3761" w:rsidRDefault="00612282" w:rsidP="002D3761">
      <w:pPr>
        <w:spacing w:after="0" w:line="240" w:lineRule="auto"/>
        <w:ind w:firstLine="567"/>
        <w:jc w:val="both"/>
        <w:rPr>
          <w:rFonts w:ascii="Arial" w:hAnsi="Arial" w:cs="Arial"/>
        </w:rPr>
      </w:pPr>
      <w:r w:rsidRPr="00763118">
        <w:rPr>
          <w:rFonts w:ascii="Arial" w:hAnsi="Arial" w:cs="Arial"/>
        </w:rPr>
        <w:t>Portugal’s trade potential is consistent along the</w:t>
      </w:r>
      <w:r w:rsidR="006D4F6F">
        <w:rPr>
          <w:rFonts w:ascii="Arial" w:hAnsi="Arial" w:cs="Arial"/>
        </w:rPr>
        <w:t xml:space="preserve"> analyzed</w:t>
      </w:r>
      <w:r w:rsidRPr="00763118">
        <w:rPr>
          <w:rFonts w:ascii="Arial" w:hAnsi="Arial" w:cs="Arial"/>
        </w:rPr>
        <w:t xml:space="preserve"> periods. Most considered groups have a geographical orientation index above 1 to the EU15, which is </w:t>
      </w:r>
      <w:proofErr w:type="gramStart"/>
      <w:r w:rsidRPr="00763118">
        <w:rPr>
          <w:rFonts w:ascii="Arial" w:hAnsi="Arial" w:cs="Arial"/>
        </w:rPr>
        <w:t>consistent</w:t>
      </w:r>
      <w:proofErr w:type="gramEnd"/>
      <w:r w:rsidRPr="00763118">
        <w:rPr>
          <w:rFonts w:ascii="Arial" w:hAnsi="Arial" w:cs="Arial"/>
        </w:rPr>
        <w:t xml:space="preserve"> the inexistence of trade barriers in the European Union’s territory. </w:t>
      </w:r>
    </w:p>
    <w:p w:rsidR="00CE22DB" w:rsidRDefault="00612282" w:rsidP="002D3761">
      <w:pPr>
        <w:spacing w:after="0" w:line="240" w:lineRule="auto"/>
        <w:ind w:firstLine="567"/>
        <w:jc w:val="both"/>
        <w:rPr>
          <w:rFonts w:ascii="Arial" w:hAnsi="Arial" w:cs="Arial"/>
        </w:rPr>
      </w:pPr>
      <w:r w:rsidRPr="00763118">
        <w:rPr>
          <w:rFonts w:ascii="Arial" w:hAnsi="Arial" w:cs="Arial"/>
        </w:rPr>
        <w:t xml:space="preserve">Nevertheless, the fats and saturated products </w:t>
      </w:r>
      <w:proofErr w:type="gramStart"/>
      <w:r w:rsidRPr="00763118">
        <w:rPr>
          <w:rFonts w:ascii="Arial" w:hAnsi="Arial" w:cs="Arial"/>
        </w:rPr>
        <w:t>registers</w:t>
      </w:r>
      <w:proofErr w:type="gramEnd"/>
      <w:r w:rsidRPr="00763118">
        <w:rPr>
          <w:rFonts w:ascii="Arial" w:hAnsi="Arial" w:cs="Arial"/>
        </w:rPr>
        <w:t>, in all periods, a geographical orientation index below 1</w:t>
      </w:r>
      <w:r w:rsidR="002D3761">
        <w:rPr>
          <w:rFonts w:ascii="Arial" w:hAnsi="Arial" w:cs="Arial"/>
        </w:rPr>
        <w:t xml:space="preserve"> while </w:t>
      </w:r>
      <w:proofErr w:type="spellStart"/>
      <w:r w:rsidR="002D3761">
        <w:rPr>
          <w:rFonts w:ascii="Arial" w:hAnsi="Arial" w:cs="Arial"/>
        </w:rPr>
        <w:t>complementarity</w:t>
      </w:r>
      <w:proofErr w:type="spellEnd"/>
      <w:r w:rsidR="002D3761">
        <w:rPr>
          <w:rFonts w:ascii="Arial" w:hAnsi="Arial" w:cs="Arial"/>
        </w:rPr>
        <w:t xml:space="preserve"> is above 1</w:t>
      </w:r>
      <w:r w:rsidRPr="00763118">
        <w:rPr>
          <w:rFonts w:ascii="Arial" w:hAnsi="Arial" w:cs="Arial"/>
        </w:rPr>
        <w:t>. The geographical position of Portugal may be the reason for such geographical orientation index result in the group.</w:t>
      </w:r>
    </w:p>
    <w:p w:rsidR="0047283C" w:rsidRDefault="00CE22DB" w:rsidP="00CE22DB">
      <w:pPr>
        <w:spacing w:after="0" w:line="240" w:lineRule="auto"/>
        <w:jc w:val="both"/>
        <w:rPr>
          <w:rFonts w:ascii="Arial" w:hAnsi="Arial" w:cs="Arial"/>
        </w:rPr>
      </w:pPr>
      <w:r>
        <w:rPr>
          <w:rFonts w:ascii="Arial" w:hAnsi="Arial" w:cs="Arial"/>
        </w:rPr>
        <w:tab/>
        <w:t xml:space="preserve">Due to the inexistence of trade barriers in the European Union, the principal index to be accounted is the trade </w:t>
      </w:r>
      <w:proofErr w:type="spellStart"/>
      <w:r>
        <w:rPr>
          <w:rFonts w:ascii="Arial" w:hAnsi="Arial" w:cs="Arial"/>
        </w:rPr>
        <w:t>complementarity</w:t>
      </w:r>
      <w:proofErr w:type="spellEnd"/>
      <w:r>
        <w:rPr>
          <w:rFonts w:ascii="Arial" w:hAnsi="Arial" w:cs="Arial"/>
        </w:rPr>
        <w:t xml:space="preserve">. </w:t>
      </w:r>
      <w:r w:rsidR="0047283C">
        <w:rPr>
          <w:rFonts w:ascii="Arial" w:hAnsi="Arial" w:cs="Arial"/>
        </w:rPr>
        <w:t xml:space="preserve">As expected, most groups that have revealed comparative advantage to the </w:t>
      </w:r>
      <w:proofErr w:type="gramStart"/>
      <w:r w:rsidR="0047283C">
        <w:rPr>
          <w:rFonts w:ascii="Arial" w:hAnsi="Arial" w:cs="Arial"/>
        </w:rPr>
        <w:t>EU15,</w:t>
      </w:r>
      <w:proofErr w:type="gramEnd"/>
      <w:r w:rsidR="0047283C">
        <w:rPr>
          <w:rFonts w:ascii="Arial" w:hAnsi="Arial" w:cs="Arial"/>
        </w:rPr>
        <w:t xml:space="preserve"> present also an above 1 trade </w:t>
      </w:r>
      <w:proofErr w:type="spellStart"/>
      <w:r w:rsidR="0047283C">
        <w:rPr>
          <w:rFonts w:ascii="Arial" w:hAnsi="Arial" w:cs="Arial"/>
        </w:rPr>
        <w:t>complementarity</w:t>
      </w:r>
      <w:proofErr w:type="spellEnd"/>
      <w:r w:rsidR="0047283C">
        <w:rPr>
          <w:rFonts w:ascii="Arial" w:hAnsi="Arial" w:cs="Arial"/>
        </w:rPr>
        <w:t xml:space="preserve"> ind</w:t>
      </w:r>
      <w:r w:rsidR="002A4925">
        <w:rPr>
          <w:rFonts w:ascii="Arial" w:hAnsi="Arial" w:cs="Arial"/>
        </w:rPr>
        <w:t>e</w:t>
      </w:r>
      <w:r w:rsidR="0047283C">
        <w:rPr>
          <w:rFonts w:ascii="Arial" w:hAnsi="Arial" w:cs="Arial"/>
        </w:rPr>
        <w:t>x. Still, there are groups</w:t>
      </w:r>
      <w:r>
        <w:rPr>
          <w:rFonts w:ascii="Arial" w:hAnsi="Arial" w:cs="Arial"/>
        </w:rPr>
        <w:t xml:space="preserve"> during specific periods that have no revealed comparative advantage but have an above 1 </w:t>
      </w:r>
      <w:proofErr w:type="spellStart"/>
      <w:r>
        <w:rPr>
          <w:rFonts w:ascii="Arial" w:hAnsi="Arial" w:cs="Arial"/>
        </w:rPr>
        <w:t>complementarity</w:t>
      </w:r>
      <w:proofErr w:type="spellEnd"/>
      <w:r>
        <w:rPr>
          <w:rFonts w:ascii="Arial" w:hAnsi="Arial" w:cs="Arial"/>
        </w:rPr>
        <w:t xml:space="preserve"> index – due to EU15 comparative disadvantage in producing those group of products</w:t>
      </w:r>
      <w:r w:rsidR="0047283C">
        <w:rPr>
          <w:rFonts w:ascii="Arial" w:hAnsi="Arial" w:cs="Arial"/>
        </w:rPr>
        <w:t xml:space="preserve"> -</w:t>
      </w:r>
      <w:r>
        <w:rPr>
          <w:rFonts w:ascii="Arial" w:hAnsi="Arial" w:cs="Arial"/>
        </w:rPr>
        <w:t xml:space="preserve"> such as </w:t>
      </w:r>
      <w:r w:rsidR="00292E14">
        <w:rPr>
          <w:rFonts w:ascii="Arial" w:hAnsi="Arial" w:cs="Arial"/>
        </w:rPr>
        <w:t xml:space="preserve">group 2, 4, 5, 6 and 14 in the period of 2001 - 2003; group 1, 4, 12 and 30 in the period of 2004 – 2008; and 4, 25, 30 in the period of 2009 </w:t>
      </w:r>
      <w:r w:rsidR="0047283C">
        <w:rPr>
          <w:rFonts w:ascii="Arial" w:hAnsi="Arial" w:cs="Arial"/>
        </w:rPr>
        <w:t>–</w:t>
      </w:r>
      <w:r w:rsidR="00292E14">
        <w:rPr>
          <w:rFonts w:ascii="Arial" w:hAnsi="Arial" w:cs="Arial"/>
        </w:rPr>
        <w:t xml:space="preserve"> 2013</w:t>
      </w:r>
      <w:r w:rsidR="0047283C">
        <w:rPr>
          <w:rFonts w:ascii="Arial" w:hAnsi="Arial" w:cs="Arial"/>
        </w:rPr>
        <w:t>. T</w:t>
      </w:r>
      <w:r>
        <w:rPr>
          <w:rFonts w:ascii="Arial" w:hAnsi="Arial" w:cs="Arial"/>
        </w:rPr>
        <w:t>he opposite</w:t>
      </w:r>
      <w:r w:rsidR="00292E14">
        <w:rPr>
          <w:rFonts w:ascii="Arial" w:hAnsi="Arial" w:cs="Arial"/>
        </w:rPr>
        <w:t xml:space="preserve"> might also be found in group 7 in the periods of 2004 – 2008 and 2009 – 2013 and </w:t>
      </w:r>
      <w:r w:rsidR="0047283C">
        <w:rPr>
          <w:rFonts w:ascii="Arial" w:hAnsi="Arial" w:cs="Arial"/>
        </w:rPr>
        <w:t xml:space="preserve">in the </w:t>
      </w:r>
      <w:r w:rsidR="00292E14">
        <w:rPr>
          <w:rFonts w:ascii="Arial" w:hAnsi="Arial" w:cs="Arial"/>
        </w:rPr>
        <w:t>group</w:t>
      </w:r>
      <w:r w:rsidR="00612282" w:rsidRPr="00763118">
        <w:rPr>
          <w:rFonts w:ascii="Arial" w:hAnsi="Arial" w:cs="Arial"/>
        </w:rPr>
        <w:t xml:space="preserve"> </w:t>
      </w:r>
      <w:r w:rsidR="0047283C">
        <w:rPr>
          <w:rFonts w:ascii="Arial" w:hAnsi="Arial" w:cs="Arial"/>
        </w:rPr>
        <w:t xml:space="preserve">24 in the period of 2004 to 2008. </w:t>
      </w:r>
      <w:r w:rsidR="0010077A">
        <w:rPr>
          <w:rFonts w:ascii="Arial" w:hAnsi="Arial" w:cs="Arial"/>
        </w:rPr>
        <w:t>An interesting tendency is noted when the indexes don’t coincide: when the trade complementary index is greater than 1 but there is no</w:t>
      </w:r>
      <w:r w:rsidR="002A4925">
        <w:rPr>
          <w:rFonts w:ascii="Arial" w:hAnsi="Arial" w:cs="Arial"/>
        </w:rPr>
        <w:t xml:space="preserve"> revealed comparative advantage</w:t>
      </w:r>
      <w:r w:rsidR="0010077A">
        <w:rPr>
          <w:rFonts w:ascii="Arial" w:hAnsi="Arial" w:cs="Arial"/>
        </w:rPr>
        <w:t xml:space="preserve"> in the following periods</w:t>
      </w:r>
      <w:r w:rsidR="002A4925">
        <w:rPr>
          <w:rFonts w:ascii="Arial" w:hAnsi="Arial" w:cs="Arial"/>
        </w:rPr>
        <w:t>,</w:t>
      </w:r>
      <w:r w:rsidR="0010077A">
        <w:rPr>
          <w:rFonts w:ascii="Arial" w:hAnsi="Arial" w:cs="Arial"/>
        </w:rPr>
        <w:t xml:space="preserve"> there is an increase of the revealed comparative advantage value in the subsequent period</w:t>
      </w:r>
      <w:r w:rsidR="002A4925">
        <w:rPr>
          <w:rFonts w:ascii="Arial" w:hAnsi="Arial" w:cs="Arial"/>
        </w:rPr>
        <w:t>;</w:t>
      </w:r>
      <w:r w:rsidR="0010077A">
        <w:rPr>
          <w:rFonts w:ascii="Arial" w:hAnsi="Arial" w:cs="Arial"/>
        </w:rPr>
        <w:t xml:space="preserve"> whereas when the opposite happens there is a decrease of the revealed comparative advantage index in the subsequent period. Such demonstrates the importance of the comparative disadvantage of the trade partner determining the comparative advantages of the exporting country.</w:t>
      </w:r>
    </w:p>
    <w:p w:rsidR="002D3761" w:rsidRDefault="002D3761" w:rsidP="002D3761">
      <w:pPr>
        <w:spacing w:after="0" w:line="240" w:lineRule="auto"/>
        <w:ind w:firstLine="567"/>
        <w:jc w:val="both"/>
        <w:rPr>
          <w:rFonts w:ascii="Arial" w:hAnsi="Arial" w:cs="Arial"/>
        </w:rPr>
      </w:pPr>
    </w:p>
    <w:p w:rsidR="00CE2D82" w:rsidRDefault="00CE2D82" w:rsidP="00CE2D82">
      <w:pPr>
        <w:spacing w:after="0"/>
        <w:ind w:firstLine="567"/>
        <w:jc w:val="center"/>
        <w:rPr>
          <w:rFonts w:ascii="Arial" w:hAnsi="Arial" w:cs="Arial"/>
        </w:rPr>
      </w:pPr>
      <w:proofErr w:type="gramStart"/>
      <w:r>
        <w:rPr>
          <w:rFonts w:ascii="Arial" w:hAnsi="Arial" w:cs="Arial"/>
          <w:b/>
        </w:rPr>
        <w:t>Table 5</w:t>
      </w:r>
      <w:r w:rsidRPr="00763118">
        <w:rPr>
          <w:rFonts w:ascii="Arial" w:hAnsi="Arial" w:cs="Arial"/>
          <w:b/>
        </w:rPr>
        <w:t>.</w:t>
      </w:r>
      <w:proofErr w:type="gramEnd"/>
      <w:r w:rsidRPr="00763118">
        <w:rPr>
          <w:rFonts w:ascii="Arial" w:hAnsi="Arial" w:cs="Arial"/>
        </w:rPr>
        <w:t xml:space="preserve"> </w:t>
      </w:r>
      <w:r>
        <w:rPr>
          <w:rFonts w:ascii="Arial" w:hAnsi="Arial" w:cs="Arial"/>
        </w:rPr>
        <w:t>TCI and GOI</w:t>
      </w:r>
      <w:r w:rsidRPr="00763118">
        <w:rPr>
          <w:rFonts w:ascii="Arial" w:hAnsi="Arial" w:cs="Arial"/>
        </w:rPr>
        <w:t xml:space="preserve"> Crossover for Portugal</w:t>
      </w:r>
    </w:p>
    <w:tbl>
      <w:tblPr>
        <w:tblW w:w="9250" w:type="dxa"/>
        <w:tblInd w:w="80" w:type="dxa"/>
        <w:tblCellMar>
          <w:left w:w="70" w:type="dxa"/>
          <w:right w:w="70" w:type="dxa"/>
        </w:tblCellMar>
        <w:tblLook w:val="04A0"/>
      </w:tblPr>
      <w:tblGrid>
        <w:gridCol w:w="4914"/>
        <w:gridCol w:w="4336"/>
      </w:tblGrid>
      <w:tr w:rsidR="00CE2D82" w:rsidRPr="00CE2D82" w:rsidTr="00CE2D82">
        <w:trPr>
          <w:trHeight w:val="315"/>
        </w:trPr>
        <w:tc>
          <w:tcPr>
            <w:tcW w:w="9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2D82" w:rsidRPr="00CE2D82" w:rsidRDefault="00CE2D82" w:rsidP="00CE2D82">
            <w:pPr>
              <w:spacing w:after="0" w:line="240" w:lineRule="auto"/>
              <w:jc w:val="center"/>
              <w:rPr>
                <w:rFonts w:ascii="Arial" w:eastAsia="Times New Roman" w:hAnsi="Arial" w:cs="Arial"/>
                <w:b/>
                <w:bCs/>
                <w:color w:val="000000"/>
                <w:lang w:val="pt-PT"/>
              </w:rPr>
            </w:pPr>
            <w:r w:rsidRPr="00CE2D82">
              <w:rPr>
                <w:rFonts w:ascii="Arial" w:eastAsia="Times New Roman" w:hAnsi="Arial" w:cs="Arial"/>
                <w:b/>
                <w:bCs/>
                <w:color w:val="000000"/>
                <w:lang w:val="pt-PT"/>
              </w:rPr>
              <w:t xml:space="preserve">2001 </w:t>
            </w:r>
            <w:r w:rsidR="002A4925">
              <w:rPr>
                <w:rFonts w:ascii="Arial" w:eastAsia="Times New Roman" w:hAnsi="Arial" w:cs="Arial"/>
                <w:b/>
                <w:bCs/>
                <w:color w:val="000000"/>
                <w:lang w:val="pt-PT"/>
              </w:rPr>
              <w:t>–</w:t>
            </w:r>
            <w:r w:rsidRPr="00CE2D82">
              <w:rPr>
                <w:rFonts w:ascii="Arial" w:eastAsia="Times New Roman" w:hAnsi="Arial" w:cs="Arial"/>
                <w:b/>
                <w:bCs/>
                <w:color w:val="000000"/>
                <w:lang w:val="pt-PT"/>
              </w:rPr>
              <w:t xml:space="preserve"> 2013</w:t>
            </w:r>
          </w:p>
        </w:tc>
      </w:tr>
      <w:tr w:rsidR="00CE2D82" w:rsidRPr="00CE2D82" w:rsidTr="00CE2D82">
        <w:trPr>
          <w:trHeight w:val="315"/>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1, 2, 5, 6, 12, 14, 16, 17, 18, 19, 20, 21, 22, 25, 26, 28, 30</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3, 7, 8, 9, 10, 11, 13, 15, 23, 24, 27, 29</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lastRenderedPageBreak/>
              <w:t xml:space="preserve"> </w:t>
            </w: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4</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 No </w:t>
            </w:r>
            <w:proofErr w:type="spellStart"/>
            <w:r w:rsidRPr="00CE2D82">
              <w:rPr>
                <w:rFonts w:ascii="Arial" w:eastAsia="Times New Roman" w:hAnsi="Arial" w:cs="Arial"/>
                <w:color w:val="000000"/>
                <w:sz w:val="16"/>
                <w:szCs w:val="16"/>
                <w:lang w:val="pt-PT"/>
              </w:rPr>
              <w:t>Groups</w:t>
            </w:r>
            <w:proofErr w:type="spellEnd"/>
          </w:p>
        </w:tc>
      </w:tr>
      <w:tr w:rsidR="00CE2D82" w:rsidRPr="00CE2D82" w:rsidTr="00CE2D82">
        <w:trPr>
          <w:trHeight w:val="315"/>
        </w:trPr>
        <w:tc>
          <w:tcPr>
            <w:tcW w:w="4914"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
        </w:tc>
        <w:tc>
          <w:tcPr>
            <w:tcW w:w="4336"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Times New Roman" w:eastAsia="Times New Roman" w:hAnsi="Times New Roman" w:cs="Times New Roman"/>
                <w:sz w:val="20"/>
                <w:szCs w:val="20"/>
                <w:lang w:val="pt-PT"/>
              </w:rPr>
            </w:pPr>
          </w:p>
        </w:tc>
      </w:tr>
      <w:tr w:rsidR="00CE2D82" w:rsidRPr="00CE2D82" w:rsidTr="00CE2D82">
        <w:trPr>
          <w:trHeight w:val="315"/>
        </w:trPr>
        <w:tc>
          <w:tcPr>
            <w:tcW w:w="9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2D82" w:rsidRPr="00CE2D82" w:rsidRDefault="00CE2D82" w:rsidP="00CE2D82">
            <w:pPr>
              <w:spacing w:after="0" w:line="240" w:lineRule="auto"/>
              <w:jc w:val="center"/>
              <w:rPr>
                <w:rFonts w:ascii="Arial" w:eastAsia="Times New Roman" w:hAnsi="Arial" w:cs="Arial"/>
                <w:b/>
                <w:bCs/>
                <w:color w:val="000000"/>
                <w:lang w:val="pt-PT"/>
              </w:rPr>
            </w:pPr>
            <w:r w:rsidRPr="00CE2D82">
              <w:rPr>
                <w:rFonts w:ascii="Arial" w:eastAsia="Times New Roman" w:hAnsi="Arial" w:cs="Arial"/>
                <w:b/>
                <w:bCs/>
                <w:color w:val="000000"/>
                <w:lang w:val="pt-PT"/>
              </w:rPr>
              <w:t xml:space="preserve">2001 </w:t>
            </w:r>
            <w:r w:rsidR="009D5FBC">
              <w:rPr>
                <w:rFonts w:ascii="Arial" w:eastAsia="Times New Roman" w:hAnsi="Arial" w:cs="Arial"/>
                <w:b/>
                <w:bCs/>
                <w:color w:val="000000"/>
                <w:lang w:val="pt-PT"/>
              </w:rPr>
              <w:t>–</w:t>
            </w:r>
            <w:r w:rsidRPr="00CE2D82">
              <w:rPr>
                <w:rFonts w:ascii="Arial" w:eastAsia="Times New Roman" w:hAnsi="Arial" w:cs="Arial"/>
                <w:b/>
                <w:bCs/>
                <w:color w:val="000000"/>
                <w:lang w:val="pt-PT"/>
              </w:rPr>
              <w:t xml:space="preserve"> 2003</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2, 5, 6, 14, 16, 17, 18, 19, 20, 21, 22, 26, 28</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1, 3, 7, 8, 9, 10, 11, 12, 13, 15, 23, 24, 25, 27, 29, 30</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 </w:t>
            </w:r>
            <w:proofErr w:type="spellStart"/>
            <w:r w:rsidRPr="00CE2D82">
              <w:rPr>
                <w:rFonts w:ascii="Arial" w:eastAsia="Times New Roman" w:hAnsi="Arial" w:cs="Arial"/>
                <w:color w:val="000000"/>
                <w:sz w:val="16"/>
                <w:szCs w:val="16"/>
                <w:lang w:val="pt-PT"/>
              </w:rPr>
              <w:t>Group</w:t>
            </w:r>
            <w:proofErr w:type="spellEnd"/>
            <w:r w:rsidRPr="00CE2D82">
              <w:rPr>
                <w:rFonts w:ascii="Arial" w:eastAsia="Times New Roman" w:hAnsi="Arial" w:cs="Arial"/>
                <w:color w:val="000000"/>
                <w:sz w:val="16"/>
                <w:szCs w:val="16"/>
                <w:lang w:val="pt-PT"/>
              </w:rPr>
              <w:t xml:space="preserve"> 4</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 No </w:t>
            </w:r>
            <w:proofErr w:type="spellStart"/>
            <w:r w:rsidRPr="00CE2D82">
              <w:rPr>
                <w:rFonts w:ascii="Arial" w:eastAsia="Times New Roman" w:hAnsi="Arial" w:cs="Arial"/>
                <w:color w:val="000000"/>
                <w:sz w:val="16"/>
                <w:szCs w:val="16"/>
                <w:lang w:val="pt-PT"/>
              </w:rPr>
              <w:t>Groups</w:t>
            </w:r>
            <w:proofErr w:type="spellEnd"/>
          </w:p>
        </w:tc>
      </w:tr>
      <w:tr w:rsidR="00CE2D82" w:rsidRPr="00CE2D82" w:rsidTr="00CE2D82">
        <w:trPr>
          <w:trHeight w:val="315"/>
        </w:trPr>
        <w:tc>
          <w:tcPr>
            <w:tcW w:w="4914"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
        </w:tc>
        <w:tc>
          <w:tcPr>
            <w:tcW w:w="4336"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Times New Roman" w:eastAsia="Times New Roman" w:hAnsi="Times New Roman" w:cs="Times New Roman"/>
                <w:sz w:val="20"/>
                <w:szCs w:val="20"/>
                <w:lang w:val="pt-PT"/>
              </w:rPr>
            </w:pPr>
          </w:p>
        </w:tc>
      </w:tr>
      <w:tr w:rsidR="00CE2D82" w:rsidRPr="00CE2D82" w:rsidTr="00CE2D82">
        <w:trPr>
          <w:trHeight w:val="315"/>
        </w:trPr>
        <w:tc>
          <w:tcPr>
            <w:tcW w:w="9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2D82" w:rsidRPr="00CE2D82" w:rsidRDefault="00CE2D82" w:rsidP="00CE2D82">
            <w:pPr>
              <w:spacing w:after="0" w:line="240" w:lineRule="auto"/>
              <w:jc w:val="center"/>
              <w:rPr>
                <w:rFonts w:ascii="Arial" w:eastAsia="Times New Roman" w:hAnsi="Arial" w:cs="Arial"/>
                <w:b/>
                <w:bCs/>
                <w:color w:val="000000"/>
                <w:lang w:val="pt-PT"/>
              </w:rPr>
            </w:pPr>
            <w:r w:rsidRPr="00CE2D82">
              <w:rPr>
                <w:rFonts w:ascii="Arial" w:eastAsia="Times New Roman" w:hAnsi="Arial" w:cs="Arial"/>
                <w:b/>
                <w:bCs/>
                <w:color w:val="000000"/>
                <w:lang w:val="pt-PT"/>
              </w:rPr>
              <w:t xml:space="preserve">2004 </w:t>
            </w:r>
            <w:r w:rsidR="009D5FBC">
              <w:rPr>
                <w:rFonts w:ascii="Arial" w:eastAsia="Times New Roman" w:hAnsi="Arial" w:cs="Arial"/>
                <w:b/>
                <w:bCs/>
                <w:color w:val="000000"/>
                <w:lang w:val="pt-PT"/>
              </w:rPr>
              <w:t>–</w:t>
            </w:r>
            <w:r w:rsidRPr="00CE2D82">
              <w:rPr>
                <w:rFonts w:ascii="Arial" w:eastAsia="Times New Roman" w:hAnsi="Arial" w:cs="Arial"/>
                <w:b/>
                <w:bCs/>
                <w:color w:val="000000"/>
                <w:lang w:val="pt-PT"/>
              </w:rPr>
              <w:t xml:space="preserve"> 2008</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1, 2, 5, 6, 12, 14, 16, 17, 18, 19, 20, 21, 22, 25, 26, 28</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3, 7, 8, 9, 10, 11, 13, 15, 23, 24, 27, 29</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 </w:t>
            </w: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4, 30</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 No </w:t>
            </w:r>
            <w:proofErr w:type="spellStart"/>
            <w:r w:rsidRPr="00CE2D82">
              <w:rPr>
                <w:rFonts w:ascii="Arial" w:eastAsia="Times New Roman" w:hAnsi="Arial" w:cs="Arial"/>
                <w:color w:val="000000"/>
                <w:sz w:val="16"/>
                <w:szCs w:val="16"/>
                <w:lang w:val="pt-PT"/>
              </w:rPr>
              <w:t>Groups</w:t>
            </w:r>
            <w:proofErr w:type="spellEnd"/>
          </w:p>
        </w:tc>
      </w:tr>
      <w:tr w:rsidR="00CE2D82" w:rsidRPr="00CE2D82" w:rsidTr="00CE2D82">
        <w:trPr>
          <w:trHeight w:val="315"/>
        </w:trPr>
        <w:tc>
          <w:tcPr>
            <w:tcW w:w="4914"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
        </w:tc>
        <w:tc>
          <w:tcPr>
            <w:tcW w:w="4336" w:type="dxa"/>
            <w:tcBorders>
              <w:top w:val="nil"/>
              <w:left w:val="nil"/>
              <w:bottom w:val="nil"/>
              <w:right w:val="nil"/>
            </w:tcBorders>
            <w:shd w:val="clear" w:color="auto" w:fill="auto"/>
            <w:noWrap/>
            <w:vAlign w:val="center"/>
            <w:hideMark/>
          </w:tcPr>
          <w:p w:rsidR="00CE2D82" w:rsidRPr="00CE2D82" w:rsidRDefault="00CE2D82" w:rsidP="00CE2D82">
            <w:pPr>
              <w:spacing w:after="0" w:line="240" w:lineRule="auto"/>
              <w:jc w:val="center"/>
              <w:rPr>
                <w:rFonts w:ascii="Times New Roman" w:eastAsia="Times New Roman" w:hAnsi="Times New Roman" w:cs="Times New Roman"/>
                <w:sz w:val="20"/>
                <w:szCs w:val="20"/>
                <w:lang w:val="pt-PT"/>
              </w:rPr>
            </w:pPr>
          </w:p>
        </w:tc>
      </w:tr>
      <w:tr w:rsidR="00CE2D82" w:rsidRPr="00CE2D82" w:rsidTr="00CE2D82">
        <w:trPr>
          <w:trHeight w:val="315"/>
        </w:trPr>
        <w:tc>
          <w:tcPr>
            <w:tcW w:w="9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2D82" w:rsidRPr="00CE2D82" w:rsidRDefault="00CE2D82" w:rsidP="00CE2D82">
            <w:pPr>
              <w:spacing w:after="0" w:line="240" w:lineRule="auto"/>
              <w:jc w:val="center"/>
              <w:rPr>
                <w:rFonts w:ascii="Arial" w:eastAsia="Times New Roman" w:hAnsi="Arial" w:cs="Arial"/>
                <w:b/>
                <w:bCs/>
                <w:color w:val="000000"/>
                <w:lang w:val="pt-PT"/>
              </w:rPr>
            </w:pPr>
            <w:r w:rsidRPr="00CE2D82">
              <w:rPr>
                <w:rFonts w:ascii="Arial" w:eastAsia="Times New Roman" w:hAnsi="Arial" w:cs="Arial"/>
                <w:b/>
                <w:bCs/>
                <w:color w:val="000000"/>
                <w:lang w:val="pt-PT"/>
              </w:rPr>
              <w:t xml:space="preserve">2009 </w:t>
            </w:r>
            <w:r w:rsidR="009D5FBC">
              <w:rPr>
                <w:rFonts w:ascii="Arial" w:eastAsia="Times New Roman" w:hAnsi="Arial" w:cs="Arial"/>
                <w:b/>
                <w:bCs/>
                <w:color w:val="000000"/>
                <w:lang w:val="pt-PT"/>
              </w:rPr>
              <w:t>–</w:t>
            </w:r>
            <w:r w:rsidRPr="00CE2D82">
              <w:rPr>
                <w:rFonts w:ascii="Arial" w:eastAsia="Times New Roman" w:hAnsi="Arial" w:cs="Arial"/>
                <w:b/>
                <w:bCs/>
                <w:color w:val="000000"/>
                <w:lang w:val="pt-PT"/>
              </w:rPr>
              <w:t xml:space="preserve"> 2013</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&gt; 1 </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1, 2, 5, 6, 12, 14, 16, 17, 18, 19, 20,21, 22, 24, 25, 26, 28, 30</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Groups</w:t>
            </w:r>
            <w:proofErr w:type="spellEnd"/>
            <w:r w:rsidRPr="00CE2D82">
              <w:rPr>
                <w:rFonts w:ascii="Arial" w:eastAsia="Times New Roman" w:hAnsi="Arial" w:cs="Arial"/>
                <w:color w:val="000000"/>
                <w:sz w:val="16"/>
                <w:szCs w:val="16"/>
                <w:lang w:val="pt-PT"/>
              </w:rPr>
              <w:t xml:space="preserve"> 3, 7, 8, 9, 10, 11, 13, 15, 23, 27, 29</w:t>
            </w:r>
          </w:p>
        </w:tc>
      </w:tr>
      <w:tr w:rsidR="00CE2D82" w:rsidRPr="00CE2D82" w:rsidTr="00CE2D82">
        <w:trPr>
          <w:trHeight w:val="300"/>
        </w:trPr>
        <w:tc>
          <w:tcPr>
            <w:tcW w:w="4914" w:type="dxa"/>
            <w:tcBorders>
              <w:top w:val="single" w:sz="8" w:space="0" w:color="auto"/>
              <w:left w:val="single" w:sz="8" w:space="0" w:color="auto"/>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proofErr w:type="gramStart"/>
            <w:r w:rsidRPr="00CE2D82">
              <w:rPr>
                <w:rFonts w:ascii="Arial" w:eastAsia="Times New Roman" w:hAnsi="Arial" w:cs="Arial"/>
                <w:b/>
                <w:bCs/>
                <w:color w:val="000000"/>
                <w:sz w:val="20"/>
                <w:szCs w:val="20"/>
                <w:lang w:val="pt-PT"/>
              </w:rPr>
              <w:t>TCI &gt;</w:t>
            </w:r>
            <w:proofErr w:type="gramEnd"/>
            <w:r w:rsidRPr="00CE2D82">
              <w:rPr>
                <w:rFonts w:ascii="Arial" w:eastAsia="Times New Roman" w:hAnsi="Arial" w:cs="Arial"/>
                <w:b/>
                <w:bCs/>
                <w:color w:val="000000"/>
                <w:sz w:val="20"/>
                <w:szCs w:val="20"/>
                <w:lang w:val="pt-PT"/>
              </w:rPr>
              <w:t xml:space="preserve"> 1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c>
          <w:tcPr>
            <w:tcW w:w="4336" w:type="dxa"/>
            <w:tcBorders>
              <w:top w:val="single" w:sz="8" w:space="0" w:color="auto"/>
              <w:left w:val="nil"/>
              <w:bottom w:val="nil"/>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b/>
                <w:bCs/>
                <w:color w:val="000000"/>
                <w:sz w:val="20"/>
                <w:szCs w:val="20"/>
                <w:lang w:val="pt-PT"/>
              </w:rPr>
            </w:pPr>
            <w:r w:rsidRPr="00CE2D82">
              <w:rPr>
                <w:rFonts w:ascii="Arial" w:eastAsia="Times New Roman" w:hAnsi="Arial" w:cs="Arial"/>
                <w:b/>
                <w:bCs/>
                <w:color w:val="000000"/>
                <w:sz w:val="20"/>
                <w:szCs w:val="20"/>
                <w:lang w:val="pt-PT"/>
              </w:rPr>
              <w:t xml:space="preserve">TCI </w:t>
            </w:r>
            <w:proofErr w:type="gramStart"/>
            <w:r w:rsidRPr="00CE2D82">
              <w:rPr>
                <w:rFonts w:ascii="Arial" w:eastAsia="Times New Roman" w:hAnsi="Arial" w:cs="Arial"/>
                <w:b/>
                <w:bCs/>
                <w:color w:val="000000"/>
                <w:sz w:val="20"/>
                <w:szCs w:val="20"/>
                <w:lang w:val="pt-PT"/>
              </w:rPr>
              <w:t>&lt; 1</w:t>
            </w:r>
            <w:proofErr w:type="gramEnd"/>
            <w:r w:rsidRPr="00CE2D82">
              <w:rPr>
                <w:rFonts w:ascii="Arial" w:eastAsia="Times New Roman" w:hAnsi="Arial" w:cs="Arial"/>
                <w:b/>
                <w:bCs/>
                <w:color w:val="000000"/>
                <w:sz w:val="20"/>
                <w:szCs w:val="20"/>
                <w:lang w:val="pt-PT"/>
              </w:rPr>
              <w:t xml:space="preserve"> </w:t>
            </w:r>
            <w:proofErr w:type="spellStart"/>
            <w:r w:rsidRPr="00CE2D82">
              <w:rPr>
                <w:rFonts w:ascii="Arial" w:eastAsia="Times New Roman" w:hAnsi="Arial" w:cs="Arial"/>
                <w:b/>
                <w:bCs/>
                <w:color w:val="000000"/>
                <w:sz w:val="20"/>
                <w:szCs w:val="20"/>
                <w:lang w:val="pt-PT"/>
              </w:rPr>
              <w:t>and</w:t>
            </w:r>
            <w:proofErr w:type="spellEnd"/>
            <w:r w:rsidRPr="00CE2D82">
              <w:rPr>
                <w:rFonts w:ascii="Arial" w:eastAsia="Times New Roman" w:hAnsi="Arial" w:cs="Arial"/>
                <w:b/>
                <w:bCs/>
                <w:color w:val="000000"/>
                <w:sz w:val="20"/>
                <w:szCs w:val="20"/>
                <w:lang w:val="pt-PT"/>
              </w:rPr>
              <w:t xml:space="preserve"> GOI &lt; 1</w:t>
            </w:r>
          </w:p>
        </w:tc>
      </w:tr>
      <w:tr w:rsidR="00CE2D82" w:rsidRPr="00CE2D82" w:rsidTr="00CE2D82">
        <w:trPr>
          <w:trHeight w:val="315"/>
        </w:trPr>
        <w:tc>
          <w:tcPr>
            <w:tcW w:w="4914" w:type="dxa"/>
            <w:tcBorders>
              <w:top w:val="nil"/>
              <w:left w:val="single" w:sz="8" w:space="0" w:color="auto"/>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proofErr w:type="spellStart"/>
            <w:r w:rsidRPr="00CE2D82">
              <w:rPr>
                <w:rFonts w:ascii="Arial" w:eastAsia="Times New Roman" w:hAnsi="Arial" w:cs="Arial"/>
                <w:color w:val="000000"/>
                <w:sz w:val="16"/>
                <w:szCs w:val="16"/>
                <w:lang w:val="pt-PT"/>
              </w:rPr>
              <w:t>Group</w:t>
            </w:r>
            <w:proofErr w:type="spellEnd"/>
            <w:r w:rsidRPr="00CE2D82">
              <w:rPr>
                <w:rFonts w:ascii="Arial" w:eastAsia="Times New Roman" w:hAnsi="Arial" w:cs="Arial"/>
                <w:color w:val="000000"/>
                <w:sz w:val="16"/>
                <w:szCs w:val="16"/>
                <w:lang w:val="pt-PT"/>
              </w:rPr>
              <w:t xml:space="preserve"> 4</w:t>
            </w:r>
          </w:p>
        </w:tc>
        <w:tc>
          <w:tcPr>
            <w:tcW w:w="4336" w:type="dxa"/>
            <w:tcBorders>
              <w:top w:val="nil"/>
              <w:left w:val="nil"/>
              <w:bottom w:val="single" w:sz="8" w:space="0" w:color="auto"/>
              <w:right w:val="single" w:sz="8" w:space="0" w:color="auto"/>
            </w:tcBorders>
            <w:shd w:val="clear" w:color="auto" w:fill="auto"/>
            <w:noWrap/>
            <w:vAlign w:val="center"/>
            <w:hideMark/>
          </w:tcPr>
          <w:p w:rsidR="00CE2D82" w:rsidRPr="00CE2D82" w:rsidRDefault="00CE2D82" w:rsidP="00CE2D82">
            <w:pPr>
              <w:spacing w:after="0" w:line="240" w:lineRule="auto"/>
              <w:jc w:val="center"/>
              <w:rPr>
                <w:rFonts w:ascii="Arial" w:eastAsia="Times New Roman" w:hAnsi="Arial" w:cs="Arial"/>
                <w:color w:val="000000"/>
                <w:sz w:val="16"/>
                <w:szCs w:val="16"/>
                <w:lang w:val="pt-PT"/>
              </w:rPr>
            </w:pPr>
            <w:r w:rsidRPr="00CE2D82">
              <w:rPr>
                <w:rFonts w:ascii="Arial" w:eastAsia="Times New Roman" w:hAnsi="Arial" w:cs="Arial"/>
                <w:color w:val="000000"/>
                <w:sz w:val="16"/>
                <w:szCs w:val="16"/>
                <w:lang w:val="pt-PT"/>
              </w:rPr>
              <w:t xml:space="preserve">No </w:t>
            </w:r>
            <w:proofErr w:type="spellStart"/>
            <w:r w:rsidRPr="00CE2D82">
              <w:rPr>
                <w:rFonts w:ascii="Arial" w:eastAsia="Times New Roman" w:hAnsi="Arial" w:cs="Arial"/>
                <w:color w:val="000000"/>
                <w:sz w:val="16"/>
                <w:szCs w:val="16"/>
                <w:lang w:val="pt-PT"/>
              </w:rPr>
              <w:t>Groups</w:t>
            </w:r>
            <w:proofErr w:type="spellEnd"/>
          </w:p>
        </w:tc>
      </w:tr>
    </w:tbl>
    <w:p w:rsidR="00CE2D82" w:rsidRDefault="00CE2D82" w:rsidP="00CE2D82">
      <w:pPr>
        <w:spacing w:after="0" w:line="240" w:lineRule="auto"/>
        <w:ind w:firstLine="567"/>
        <w:jc w:val="center"/>
        <w:rPr>
          <w:rFonts w:ascii="Arial" w:hAnsi="Arial" w:cs="Arial"/>
        </w:rPr>
      </w:pPr>
      <w:r w:rsidRPr="00CE2D82">
        <w:rPr>
          <w:rFonts w:ascii="Arial" w:hAnsi="Arial" w:cs="Arial"/>
          <w:sz w:val="18"/>
          <w:szCs w:val="18"/>
        </w:rPr>
        <w:t>Source: Own calculations from INTRACEN Database</w:t>
      </w:r>
    </w:p>
    <w:p w:rsidR="00CE2D82" w:rsidRDefault="00CE2D82" w:rsidP="004455CB">
      <w:pPr>
        <w:spacing w:after="0" w:line="240" w:lineRule="auto"/>
        <w:ind w:firstLine="567"/>
        <w:rPr>
          <w:rFonts w:ascii="Arial" w:hAnsi="Arial" w:cs="Arial"/>
        </w:rPr>
      </w:pPr>
    </w:p>
    <w:p w:rsidR="00CE2D82" w:rsidRPr="00763118" w:rsidRDefault="00CE2D82" w:rsidP="004455CB">
      <w:pPr>
        <w:spacing w:after="0" w:line="240" w:lineRule="auto"/>
        <w:ind w:firstLine="567"/>
        <w:rPr>
          <w:rFonts w:ascii="Arial" w:hAnsi="Arial" w:cs="Arial"/>
        </w:rPr>
      </w:pPr>
    </w:p>
    <w:p w:rsidR="00612282" w:rsidRDefault="00612282" w:rsidP="00AA49D1">
      <w:pPr>
        <w:spacing w:before="220" w:after="220" w:line="240" w:lineRule="auto"/>
        <w:jc w:val="both"/>
        <w:rPr>
          <w:rFonts w:ascii="Arial" w:hAnsi="Arial" w:cs="Arial"/>
          <w:b/>
        </w:rPr>
      </w:pPr>
      <w:r w:rsidRPr="00763118">
        <w:rPr>
          <w:rFonts w:ascii="Arial" w:hAnsi="Arial" w:cs="Arial"/>
          <w:b/>
        </w:rPr>
        <w:t>ii. Poland</w:t>
      </w:r>
    </w:p>
    <w:p w:rsidR="006D4F6F" w:rsidRPr="006D4F6F" w:rsidRDefault="006D4F6F" w:rsidP="00AA49D1">
      <w:pPr>
        <w:spacing w:before="220" w:after="220" w:line="240" w:lineRule="auto"/>
        <w:jc w:val="both"/>
        <w:rPr>
          <w:rFonts w:ascii="Arial" w:hAnsi="Arial" w:cs="Arial"/>
        </w:rPr>
      </w:pPr>
      <w:r>
        <w:rPr>
          <w:rFonts w:ascii="Arial" w:hAnsi="Arial" w:cs="Arial"/>
          <w:b/>
        </w:rPr>
        <w:tab/>
      </w:r>
      <w:r>
        <w:rPr>
          <w:rFonts w:ascii="Arial" w:hAnsi="Arial" w:cs="Arial"/>
        </w:rPr>
        <w:t xml:space="preserve">Poland’s entry to the European Union in 2004 is expected to be </w:t>
      </w:r>
      <w:r w:rsidR="00AA49D1">
        <w:rPr>
          <w:rFonts w:ascii="Arial" w:hAnsi="Arial" w:cs="Arial"/>
        </w:rPr>
        <w:t>accompanied</w:t>
      </w:r>
      <w:r>
        <w:rPr>
          <w:rFonts w:ascii="Arial" w:hAnsi="Arial" w:cs="Arial"/>
        </w:rPr>
        <w:t xml:space="preserve"> by an increase of the geographical orientation index, especially in the groups where it is observed an higher than 1 </w:t>
      </w:r>
      <w:proofErr w:type="spellStart"/>
      <w:r>
        <w:rPr>
          <w:rFonts w:ascii="Arial" w:hAnsi="Arial" w:cs="Arial"/>
        </w:rPr>
        <w:t>complementarity</w:t>
      </w:r>
      <w:proofErr w:type="spellEnd"/>
      <w:r>
        <w:rPr>
          <w:rFonts w:ascii="Arial" w:hAnsi="Arial" w:cs="Arial"/>
        </w:rPr>
        <w:t xml:space="preserve"> index, leading from a situation of trade potential (with </w:t>
      </w:r>
      <w:proofErr w:type="spellStart"/>
      <w:r>
        <w:rPr>
          <w:rFonts w:ascii="Arial" w:hAnsi="Arial" w:cs="Arial"/>
        </w:rPr>
        <w:t>complementarity</w:t>
      </w:r>
      <w:proofErr w:type="spellEnd"/>
      <w:r>
        <w:rPr>
          <w:rFonts w:ascii="Arial" w:hAnsi="Arial" w:cs="Arial"/>
        </w:rPr>
        <w:t xml:space="preserve"> index above 1 but a geographical orientation index below 1) to a full accomplished </w:t>
      </w:r>
      <w:proofErr w:type="spellStart"/>
      <w:r>
        <w:rPr>
          <w:rFonts w:ascii="Arial" w:hAnsi="Arial" w:cs="Arial"/>
        </w:rPr>
        <w:t>complementarity</w:t>
      </w:r>
      <w:proofErr w:type="spellEnd"/>
      <w:r>
        <w:rPr>
          <w:rFonts w:ascii="Arial" w:hAnsi="Arial" w:cs="Arial"/>
        </w:rPr>
        <w:t xml:space="preserve"> of trade (with both indexes greater than 1). Still, due to previous trade ag</w:t>
      </w:r>
      <w:r w:rsidR="00DB3A80">
        <w:rPr>
          <w:rFonts w:ascii="Arial" w:hAnsi="Arial" w:cs="Arial"/>
        </w:rPr>
        <w:t>reements with the European Union,</w:t>
      </w:r>
      <w:r>
        <w:rPr>
          <w:rFonts w:ascii="Arial" w:hAnsi="Arial" w:cs="Arial"/>
        </w:rPr>
        <w:t xml:space="preserve"> </w:t>
      </w:r>
      <w:r w:rsidR="00AA49D1">
        <w:rPr>
          <w:rFonts w:ascii="Arial" w:hAnsi="Arial" w:cs="Arial"/>
        </w:rPr>
        <w:t xml:space="preserve">the rise of the </w:t>
      </w:r>
      <w:r w:rsidR="004D04F5">
        <w:rPr>
          <w:rFonts w:ascii="Arial" w:hAnsi="Arial" w:cs="Arial"/>
        </w:rPr>
        <w:t>group’s</w:t>
      </w:r>
      <w:r w:rsidR="00AA49D1">
        <w:rPr>
          <w:rFonts w:ascii="Arial" w:hAnsi="Arial" w:cs="Arial"/>
        </w:rPr>
        <w:t xml:space="preserve"> value in the geographical orientation index seems to be limited. </w:t>
      </w:r>
      <w:proofErr w:type="gramStart"/>
      <w:r w:rsidR="00AA49D1">
        <w:rPr>
          <w:rFonts w:ascii="Arial" w:hAnsi="Arial" w:cs="Arial"/>
        </w:rPr>
        <w:t xml:space="preserve">Accordingly, only </w:t>
      </w:r>
      <w:r w:rsidR="009D5FBC">
        <w:rPr>
          <w:rFonts w:ascii="Arial" w:hAnsi="Arial" w:cs="Arial"/>
        </w:rPr>
        <w:t>groups 2, 4 and 5 gain a geographical orientation greater than</w:t>
      </w:r>
      <w:r w:rsidR="00CE3D60">
        <w:rPr>
          <w:rFonts w:ascii="Arial" w:hAnsi="Arial" w:cs="Arial"/>
        </w:rPr>
        <w:t xml:space="preserve"> 1 from 2001-2003 to 2004-2008.</w:t>
      </w:r>
      <w:proofErr w:type="gramEnd"/>
    </w:p>
    <w:p w:rsidR="00F019D0" w:rsidRPr="00F019D0" w:rsidRDefault="00F019D0" w:rsidP="00F019D0">
      <w:pPr>
        <w:spacing w:after="0"/>
        <w:ind w:firstLine="567"/>
        <w:jc w:val="center"/>
        <w:rPr>
          <w:rFonts w:ascii="Arial" w:hAnsi="Arial" w:cs="Arial"/>
        </w:rPr>
      </w:pPr>
      <w:proofErr w:type="gramStart"/>
      <w:r>
        <w:rPr>
          <w:rFonts w:ascii="Arial" w:hAnsi="Arial" w:cs="Arial"/>
          <w:b/>
        </w:rPr>
        <w:t>Table 6</w:t>
      </w:r>
      <w:r w:rsidRPr="00763118">
        <w:rPr>
          <w:rFonts w:ascii="Arial" w:hAnsi="Arial" w:cs="Arial"/>
          <w:b/>
        </w:rPr>
        <w:t>.</w:t>
      </w:r>
      <w:proofErr w:type="gramEnd"/>
      <w:r w:rsidRPr="00763118">
        <w:rPr>
          <w:rFonts w:ascii="Arial" w:hAnsi="Arial" w:cs="Arial"/>
        </w:rPr>
        <w:t xml:space="preserve"> </w:t>
      </w:r>
      <w:r>
        <w:rPr>
          <w:rFonts w:ascii="Arial" w:hAnsi="Arial" w:cs="Arial"/>
        </w:rPr>
        <w:t>TCI and GOI Crossover for Poland</w:t>
      </w:r>
    </w:p>
    <w:tbl>
      <w:tblPr>
        <w:tblW w:w="8494" w:type="dxa"/>
        <w:tblInd w:w="80" w:type="dxa"/>
        <w:tblCellMar>
          <w:left w:w="70" w:type="dxa"/>
          <w:right w:w="70" w:type="dxa"/>
        </w:tblCellMar>
        <w:tblLook w:val="04A0"/>
      </w:tblPr>
      <w:tblGrid>
        <w:gridCol w:w="4692"/>
        <w:gridCol w:w="3802"/>
      </w:tblGrid>
      <w:tr w:rsidR="00F019D0" w:rsidRPr="00F019D0" w:rsidTr="00F019D0">
        <w:trPr>
          <w:trHeight w:val="315"/>
        </w:trPr>
        <w:tc>
          <w:tcPr>
            <w:tcW w:w="84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r w:rsidRPr="00F019D0">
              <w:rPr>
                <w:rFonts w:ascii="Arial" w:eastAsia="Times New Roman" w:hAnsi="Arial" w:cs="Arial"/>
                <w:b/>
                <w:bCs/>
                <w:color w:val="000000"/>
                <w:lang w:val="pt-PT"/>
              </w:rPr>
              <w:t xml:space="preserve">2001 </w:t>
            </w:r>
            <w:r w:rsidR="007A7BE4">
              <w:rPr>
                <w:rFonts w:ascii="Arial" w:eastAsia="Times New Roman" w:hAnsi="Arial" w:cs="Arial"/>
                <w:b/>
                <w:bCs/>
                <w:color w:val="000000"/>
                <w:lang w:val="pt-PT"/>
              </w:rPr>
              <w:t>–</w:t>
            </w:r>
            <w:r w:rsidRPr="00F019D0">
              <w:rPr>
                <w:rFonts w:ascii="Arial" w:eastAsia="Times New Roman" w:hAnsi="Arial" w:cs="Arial"/>
                <w:b/>
                <w:bCs/>
                <w:color w:val="000000"/>
                <w:lang w:val="pt-PT"/>
              </w:rPr>
              <w:t xml:space="preserve"> 2013</w:t>
            </w:r>
          </w:p>
        </w:tc>
      </w:tr>
      <w:tr w:rsidR="00F019D0" w:rsidRPr="00F019D0" w:rsidTr="00F019D0">
        <w:trPr>
          <w:trHeight w:val="315"/>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1, 5, 6, 12, 14, 16, 17, 20, 22, 24, 25, 26, 28, 30 </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3, 4, 7, 8, 9, 10, 13, 15, 18, 19, 21, 23, 27, 29 </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proofErr w:type="gramStart"/>
            <w:r w:rsidRPr="00F019D0">
              <w:rPr>
                <w:rFonts w:ascii="Arial" w:eastAsia="Times New Roman" w:hAnsi="Arial" w:cs="Arial"/>
                <w:b/>
                <w:bCs/>
                <w:color w:val="000000"/>
                <w:lang w:val="pt-PT"/>
              </w:rPr>
              <w:t>TCI &gt;</w:t>
            </w:r>
            <w:proofErr w:type="gramEnd"/>
            <w:r w:rsidRPr="00F019D0">
              <w:rPr>
                <w:rFonts w:ascii="Arial" w:eastAsia="Times New Roman" w:hAnsi="Arial" w:cs="Arial"/>
                <w:b/>
                <w:bCs/>
                <w:color w:val="000000"/>
                <w:lang w:val="pt-PT"/>
              </w:rPr>
              <w:t xml:space="preserve"> 1 </w:t>
            </w:r>
            <w:proofErr w:type="spellStart"/>
            <w:r w:rsidRPr="00F019D0">
              <w:rPr>
                <w:rFonts w:ascii="Arial" w:eastAsia="Times New Roman" w:hAnsi="Arial" w:cs="Arial"/>
                <w:b/>
                <w:bCs/>
                <w:color w:val="000000"/>
                <w:lang w:val="pt-PT"/>
              </w:rPr>
              <w:t>and</w:t>
            </w:r>
            <w:proofErr w:type="spellEnd"/>
            <w:r w:rsidRPr="00F019D0">
              <w:rPr>
                <w:rFonts w:ascii="Arial" w:eastAsia="Times New Roman" w:hAnsi="Arial" w:cs="Arial"/>
                <w:b/>
                <w:bCs/>
                <w:color w:val="000000"/>
                <w:lang w:val="pt-PT"/>
              </w:rPr>
              <w:t xml:space="preserve"> GOI &lt; 1</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r w:rsidRPr="00F019D0">
              <w:rPr>
                <w:rFonts w:ascii="Arial" w:eastAsia="Times New Roman" w:hAnsi="Arial" w:cs="Arial"/>
                <w:b/>
                <w:bCs/>
                <w:color w:val="000000"/>
                <w:lang w:val="pt-PT"/>
              </w:rPr>
              <w:t xml:space="preserve">TCI </w:t>
            </w:r>
            <w:proofErr w:type="gramStart"/>
            <w:r w:rsidRPr="00F019D0">
              <w:rPr>
                <w:rFonts w:ascii="Arial" w:eastAsia="Times New Roman" w:hAnsi="Arial" w:cs="Arial"/>
                <w:b/>
                <w:bCs/>
                <w:color w:val="000000"/>
                <w:lang w:val="pt-PT"/>
              </w:rPr>
              <w:t>&lt; 1</w:t>
            </w:r>
            <w:proofErr w:type="gramEnd"/>
            <w:r w:rsidRPr="00F019D0">
              <w:rPr>
                <w:rFonts w:ascii="Arial" w:eastAsia="Times New Roman" w:hAnsi="Arial" w:cs="Arial"/>
                <w:b/>
                <w:bCs/>
                <w:color w:val="000000"/>
                <w:lang w:val="pt-PT"/>
              </w:rPr>
              <w:t xml:space="preserve"> </w:t>
            </w:r>
            <w:proofErr w:type="spellStart"/>
            <w:r w:rsidRPr="00F019D0">
              <w:rPr>
                <w:rFonts w:ascii="Arial" w:eastAsia="Times New Roman" w:hAnsi="Arial" w:cs="Arial"/>
                <w:b/>
                <w:bCs/>
                <w:color w:val="000000"/>
                <w:lang w:val="pt-PT"/>
              </w:rPr>
              <w:t>and</w:t>
            </w:r>
            <w:proofErr w:type="spellEnd"/>
            <w:r w:rsidRPr="00F019D0">
              <w:rPr>
                <w:rFonts w:ascii="Arial" w:eastAsia="Times New Roman" w:hAnsi="Arial" w:cs="Arial"/>
                <w:b/>
                <w:bCs/>
                <w:color w:val="000000"/>
                <w:lang w:val="pt-PT"/>
              </w:rPr>
              <w:t xml:space="preserve"> GOI &lt; 1</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 </w:t>
            </w: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2, 11</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 No </w:t>
            </w:r>
            <w:proofErr w:type="spellStart"/>
            <w:r w:rsidRPr="00F019D0">
              <w:rPr>
                <w:rFonts w:ascii="Arial" w:eastAsia="Times New Roman" w:hAnsi="Arial" w:cs="Arial"/>
                <w:color w:val="000000"/>
                <w:sz w:val="16"/>
                <w:szCs w:val="16"/>
                <w:lang w:val="pt-PT"/>
              </w:rPr>
              <w:t>Groups</w:t>
            </w:r>
            <w:proofErr w:type="spellEnd"/>
          </w:p>
        </w:tc>
      </w:tr>
      <w:tr w:rsidR="00F019D0" w:rsidRPr="00F019D0" w:rsidTr="00F019D0">
        <w:trPr>
          <w:trHeight w:val="315"/>
        </w:trPr>
        <w:tc>
          <w:tcPr>
            <w:tcW w:w="469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
        </w:tc>
        <w:tc>
          <w:tcPr>
            <w:tcW w:w="380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Times New Roman" w:eastAsia="Times New Roman" w:hAnsi="Times New Roman" w:cs="Times New Roman"/>
                <w:sz w:val="20"/>
                <w:szCs w:val="20"/>
                <w:lang w:val="pt-PT"/>
              </w:rPr>
            </w:pPr>
          </w:p>
        </w:tc>
      </w:tr>
      <w:tr w:rsidR="00F019D0" w:rsidRPr="00F019D0" w:rsidTr="00F019D0">
        <w:trPr>
          <w:trHeight w:val="315"/>
        </w:trPr>
        <w:tc>
          <w:tcPr>
            <w:tcW w:w="84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r w:rsidRPr="00F019D0">
              <w:rPr>
                <w:rFonts w:ascii="Arial" w:eastAsia="Times New Roman" w:hAnsi="Arial" w:cs="Arial"/>
                <w:b/>
                <w:bCs/>
                <w:color w:val="000000"/>
                <w:lang w:val="pt-PT"/>
              </w:rPr>
              <w:t xml:space="preserve">2001 </w:t>
            </w:r>
            <w:r w:rsidR="009D5FBC">
              <w:rPr>
                <w:rFonts w:ascii="Arial" w:eastAsia="Times New Roman" w:hAnsi="Arial" w:cs="Arial"/>
                <w:b/>
                <w:bCs/>
                <w:color w:val="000000"/>
                <w:lang w:val="pt-PT"/>
              </w:rPr>
              <w:t>–</w:t>
            </w:r>
            <w:r w:rsidRPr="00F019D0">
              <w:rPr>
                <w:rFonts w:ascii="Arial" w:eastAsia="Times New Roman" w:hAnsi="Arial" w:cs="Arial"/>
                <w:b/>
                <w:bCs/>
                <w:color w:val="000000"/>
                <w:lang w:val="pt-PT"/>
              </w:rPr>
              <w:t xml:space="preserve"> 2003</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1, 12, 14, 16, 17, 20, 22, 24, 25, 26, 28, 30</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3, 6, 7, 8, 9, 10, 13, 15, 18, 19, 21, 23, 27, 29</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 </w:t>
            </w: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2, 5, 11</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w:t>
            </w:r>
            <w:proofErr w:type="spellEnd"/>
            <w:r w:rsidRPr="00F019D0">
              <w:rPr>
                <w:rFonts w:ascii="Arial" w:eastAsia="Times New Roman" w:hAnsi="Arial" w:cs="Arial"/>
                <w:color w:val="000000"/>
                <w:sz w:val="16"/>
                <w:szCs w:val="16"/>
                <w:lang w:val="pt-PT"/>
              </w:rPr>
              <w:t xml:space="preserve"> 4</w:t>
            </w:r>
          </w:p>
        </w:tc>
      </w:tr>
      <w:tr w:rsidR="00F019D0" w:rsidRPr="00F019D0" w:rsidTr="00F019D0">
        <w:trPr>
          <w:trHeight w:val="315"/>
        </w:trPr>
        <w:tc>
          <w:tcPr>
            <w:tcW w:w="469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
        </w:tc>
        <w:tc>
          <w:tcPr>
            <w:tcW w:w="380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Times New Roman" w:eastAsia="Times New Roman" w:hAnsi="Times New Roman" w:cs="Times New Roman"/>
                <w:sz w:val="20"/>
                <w:szCs w:val="20"/>
                <w:lang w:val="pt-PT"/>
              </w:rPr>
            </w:pPr>
          </w:p>
        </w:tc>
      </w:tr>
      <w:tr w:rsidR="00F019D0" w:rsidRPr="00F019D0" w:rsidTr="00F019D0">
        <w:trPr>
          <w:trHeight w:val="315"/>
        </w:trPr>
        <w:tc>
          <w:tcPr>
            <w:tcW w:w="84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r w:rsidRPr="00F019D0">
              <w:rPr>
                <w:rFonts w:ascii="Arial" w:eastAsia="Times New Roman" w:hAnsi="Arial" w:cs="Arial"/>
                <w:b/>
                <w:bCs/>
                <w:color w:val="000000"/>
                <w:lang w:val="pt-PT"/>
              </w:rPr>
              <w:t xml:space="preserve">2004 </w:t>
            </w:r>
            <w:r w:rsidR="009D5FBC">
              <w:rPr>
                <w:rFonts w:ascii="Arial" w:eastAsia="Times New Roman" w:hAnsi="Arial" w:cs="Arial"/>
                <w:b/>
                <w:bCs/>
                <w:color w:val="000000"/>
                <w:lang w:val="pt-PT"/>
              </w:rPr>
              <w:t>–</w:t>
            </w:r>
            <w:r w:rsidRPr="00F019D0">
              <w:rPr>
                <w:rFonts w:ascii="Arial" w:eastAsia="Times New Roman" w:hAnsi="Arial" w:cs="Arial"/>
                <w:b/>
                <w:bCs/>
                <w:color w:val="000000"/>
                <w:lang w:val="pt-PT"/>
              </w:rPr>
              <w:t xml:space="preserve"> 2008</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1, 2, 5, 6, 12, 14, 16, 17, 20, 22, 24, 25, 26, 28, 30</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3, 4, 7, 8, 9, 10, 15, 18, 19, 21, 23, 27, 29</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 </w:t>
            </w:r>
            <w:proofErr w:type="spellStart"/>
            <w:r w:rsidRPr="00F019D0">
              <w:rPr>
                <w:rFonts w:ascii="Arial" w:eastAsia="Times New Roman" w:hAnsi="Arial" w:cs="Arial"/>
                <w:color w:val="000000"/>
                <w:sz w:val="16"/>
                <w:szCs w:val="16"/>
                <w:lang w:val="pt-PT"/>
              </w:rPr>
              <w:t>Group</w:t>
            </w:r>
            <w:proofErr w:type="spellEnd"/>
            <w:r w:rsidRPr="00F019D0">
              <w:rPr>
                <w:rFonts w:ascii="Arial" w:eastAsia="Times New Roman" w:hAnsi="Arial" w:cs="Arial"/>
                <w:color w:val="000000"/>
                <w:sz w:val="16"/>
                <w:szCs w:val="16"/>
                <w:lang w:val="pt-PT"/>
              </w:rPr>
              <w:t xml:space="preserve"> 11</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w:t>
            </w:r>
            <w:proofErr w:type="spellEnd"/>
            <w:r w:rsidRPr="00F019D0">
              <w:rPr>
                <w:rFonts w:ascii="Arial" w:eastAsia="Times New Roman" w:hAnsi="Arial" w:cs="Arial"/>
                <w:color w:val="000000"/>
                <w:sz w:val="16"/>
                <w:szCs w:val="16"/>
                <w:lang w:val="pt-PT"/>
              </w:rPr>
              <w:t xml:space="preserve"> 13</w:t>
            </w:r>
          </w:p>
        </w:tc>
      </w:tr>
      <w:tr w:rsidR="00F019D0" w:rsidRPr="00F019D0" w:rsidTr="00F019D0">
        <w:trPr>
          <w:trHeight w:val="315"/>
        </w:trPr>
        <w:tc>
          <w:tcPr>
            <w:tcW w:w="469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
        </w:tc>
        <w:tc>
          <w:tcPr>
            <w:tcW w:w="3802" w:type="dxa"/>
            <w:tcBorders>
              <w:top w:val="nil"/>
              <w:left w:val="nil"/>
              <w:bottom w:val="nil"/>
              <w:right w:val="nil"/>
            </w:tcBorders>
            <w:shd w:val="clear" w:color="auto" w:fill="auto"/>
            <w:noWrap/>
            <w:vAlign w:val="center"/>
            <w:hideMark/>
          </w:tcPr>
          <w:p w:rsidR="00F019D0" w:rsidRPr="00F019D0" w:rsidRDefault="00F019D0" w:rsidP="00F019D0">
            <w:pPr>
              <w:spacing w:after="0" w:line="240" w:lineRule="auto"/>
              <w:jc w:val="center"/>
              <w:rPr>
                <w:rFonts w:ascii="Times New Roman" w:eastAsia="Times New Roman" w:hAnsi="Times New Roman" w:cs="Times New Roman"/>
                <w:sz w:val="20"/>
                <w:szCs w:val="20"/>
                <w:lang w:val="pt-PT"/>
              </w:rPr>
            </w:pPr>
          </w:p>
        </w:tc>
      </w:tr>
      <w:tr w:rsidR="00F019D0" w:rsidRPr="00F019D0" w:rsidTr="00F019D0">
        <w:trPr>
          <w:trHeight w:val="315"/>
        </w:trPr>
        <w:tc>
          <w:tcPr>
            <w:tcW w:w="84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9D0" w:rsidRPr="00F019D0" w:rsidRDefault="00F019D0" w:rsidP="00F019D0">
            <w:pPr>
              <w:spacing w:after="0" w:line="240" w:lineRule="auto"/>
              <w:jc w:val="center"/>
              <w:rPr>
                <w:rFonts w:ascii="Arial" w:eastAsia="Times New Roman" w:hAnsi="Arial" w:cs="Arial"/>
                <w:b/>
                <w:bCs/>
                <w:color w:val="000000"/>
                <w:lang w:val="pt-PT"/>
              </w:rPr>
            </w:pPr>
            <w:r w:rsidRPr="00F019D0">
              <w:rPr>
                <w:rFonts w:ascii="Arial" w:eastAsia="Times New Roman" w:hAnsi="Arial" w:cs="Arial"/>
                <w:b/>
                <w:bCs/>
                <w:color w:val="000000"/>
                <w:lang w:val="pt-PT"/>
              </w:rPr>
              <w:t xml:space="preserve">2009 </w:t>
            </w:r>
            <w:r w:rsidR="009D5FBC">
              <w:rPr>
                <w:rFonts w:ascii="Arial" w:eastAsia="Times New Roman" w:hAnsi="Arial" w:cs="Arial"/>
                <w:b/>
                <w:bCs/>
                <w:color w:val="000000"/>
                <w:lang w:val="pt-PT"/>
              </w:rPr>
              <w:t>–</w:t>
            </w:r>
            <w:r w:rsidRPr="00F019D0">
              <w:rPr>
                <w:rFonts w:ascii="Arial" w:eastAsia="Times New Roman" w:hAnsi="Arial" w:cs="Arial"/>
                <w:b/>
                <w:bCs/>
                <w:color w:val="000000"/>
                <w:lang w:val="pt-PT"/>
              </w:rPr>
              <w:t xml:space="preserve"> 2013</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&gt; 1 </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1, 2, 5, 6, 11, 12, 14, 16, 17, 19, 20, 22, 24, 25, 26, 28, 30</w:t>
            </w:r>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proofErr w:type="spellStart"/>
            <w:r w:rsidRPr="00F019D0">
              <w:rPr>
                <w:rFonts w:ascii="Arial" w:eastAsia="Times New Roman" w:hAnsi="Arial" w:cs="Arial"/>
                <w:color w:val="000000"/>
                <w:sz w:val="16"/>
                <w:szCs w:val="16"/>
                <w:lang w:val="pt-PT"/>
              </w:rPr>
              <w:t>Groups</w:t>
            </w:r>
            <w:proofErr w:type="spellEnd"/>
            <w:r w:rsidRPr="00F019D0">
              <w:rPr>
                <w:rFonts w:ascii="Arial" w:eastAsia="Times New Roman" w:hAnsi="Arial" w:cs="Arial"/>
                <w:color w:val="000000"/>
                <w:sz w:val="16"/>
                <w:szCs w:val="16"/>
                <w:lang w:val="pt-PT"/>
              </w:rPr>
              <w:t xml:space="preserve"> 3, 4, 7, 8, 9, 10, 13, 15, 18, 21, 23, 27, 29</w:t>
            </w:r>
          </w:p>
        </w:tc>
      </w:tr>
      <w:tr w:rsidR="00F019D0" w:rsidRPr="00F019D0" w:rsidTr="00F019D0">
        <w:trPr>
          <w:trHeight w:val="300"/>
        </w:trPr>
        <w:tc>
          <w:tcPr>
            <w:tcW w:w="4692" w:type="dxa"/>
            <w:tcBorders>
              <w:top w:val="single" w:sz="8" w:space="0" w:color="auto"/>
              <w:left w:val="single" w:sz="8" w:space="0" w:color="auto"/>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proofErr w:type="gramStart"/>
            <w:r w:rsidRPr="00F019D0">
              <w:rPr>
                <w:rFonts w:ascii="Arial" w:eastAsia="Times New Roman" w:hAnsi="Arial" w:cs="Arial"/>
                <w:b/>
                <w:bCs/>
                <w:color w:val="000000"/>
                <w:sz w:val="20"/>
                <w:szCs w:val="20"/>
                <w:lang w:val="pt-PT"/>
              </w:rPr>
              <w:t>TCI &gt;</w:t>
            </w:r>
            <w:proofErr w:type="gramEnd"/>
            <w:r w:rsidRPr="00F019D0">
              <w:rPr>
                <w:rFonts w:ascii="Arial" w:eastAsia="Times New Roman" w:hAnsi="Arial" w:cs="Arial"/>
                <w:b/>
                <w:bCs/>
                <w:color w:val="000000"/>
                <w:sz w:val="20"/>
                <w:szCs w:val="20"/>
                <w:lang w:val="pt-PT"/>
              </w:rPr>
              <w:t xml:space="preserve"> 1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c>
          <w:tcPr>
            <w:tcW w:w="3802" w:type="dxa"/>
            <w:tcBorders>
              <w:top w:val="single" w:sz="8" w:space="0" w:color="auto"/>
              <w:left w:val="nil"/>
              <w:bottom w:val="nil"/>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b/>
                <w:bCs/>
                <w:color w:val="000000"/>
                <w:sz w:val="20"/>
                <w:szCs w:val="20"/>
                <w:lang w:val="pt-PT"/>
              </w:rPr>
            </w:pPr>
            <w:r w:rsidRPr="00F019D0">
              <w:rPr>
                <w:rFonts w:ascii="Arial" w:eastAsia="Times New Roman" w:hAnsi="Arial" w:cs="Arial"/>
                <w:b/>
                <w:bCs/>
                <w:color w:val="000000"/>
                <w:sz w:val="20"/>
                <w:szCs w:val="20"/>
                <w:lang w:val="pt-PT"/>
              </w:rPr>
              <w:t xml:space="preserve">TCI </w:t>
            </w:r>
            <w:proofErr w:type="gramStart"/>
            <w:r w:rsidRPr="00F019D0">
              <w:rPr>
                <w:rFonts w:ascii="Arial" w:eastAsia="Times New Roman" w:hAnsi="Arial" w:cs="Arial"/>
                <w:b/>
                <w:bCs/>
                <w:color w:val="000000"/>
                <w:sz w:val="20"/>
                <w:szCs w:val="20"/>
                <w:lang w:val="pt-PT"/>
              </w:rPr>
              <w:t>&lt; 1</w:t>
            </w:r>
            <w:proofErr w:type="gramEnd"/>
            <w:r w:rsidRPr="00F019D0">
              <w:rPr>
                <w:rFonts w:ascii="Arial" w:eastAsia="Times New Roman" w:hAnsi="Arial" w:cs="Arial"/>
                <w:b/>
                <w:bCs/>
                <w:color w:val="000000"/>
                <w:sz w:val="20"/>
                <w:szCs w:val="20"/>
                <w:lang w:val="pt-PT"/>
              </w:rPr>
              <w:t xml:space="preserve"> </w:t>
            </w:r>
            <w:proofErr w:type="spellStart"/>
            <w:r w:rsidRPr="00F019D0">
              <w:rPr>
                <w:rFonts w:ascii="Arial" w:eastAsia="Times New Roman" w:hAnsi="Arial" w:cs="Arial"/>
                <w:b/>
                <w:bCs/>
                <w:color w:val="000000"/>
                <w:sz w:val="20"/>
                <w:szCs w:val="20"/>
                <w:lang w:val="pt-PT"/>
              </w:rPr>
              <w:t>and</w:t>
            </w:r>
            <w:proofErr w:type="spellEnd"/>
            <w:r w:rsidRPr="00F019D0">
              <w:rPr>
                <w:rFonts w:ascii="Arial" w:eastAsia="Times New Roman" w:hAnsi="Arial" w:cs="Arial"/>
                <w:b/>
                <w:bCs/>
                <w:color w:val="000000"/>
                <w:sz w:val="20"/>
                <w:szCs w:val="20"/>
                <w:lang w:val="pt-PT"/>
              </w:rPr>
              <w:t xml:space="preserve"> GOI &lt; 1</w:t>
            </w:r>
          </w:p>
        </w:tc>
      </w:tr>
      <w:tr w:rsidR="00F019D0" w:rsidRPr="00F019D0" w:rsidTr="00F019D0">
        <w:trPr>
          <w:trHeight w:val="315"/>
        </w:trPr>
        <w:tc>
          <w:tcPr>
            <w:tcW w:w="4692" w:type="dxa"/>
            <w:tcBorders>
              <w:top w:val="nil"/>
              <w:left w:val="single" w:sz="8" w:space="0" w:color="auto"/>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No </w:t>
            </w:r>
            <w:proofErr w:type="spellStart"/>
            <w:r w:rsidRPr="00F019D0">
              <w:rPr>
                <w:rFonts w:ascii="Arial" w:eastAsia="Times New Roman" w:hAnsi="Arial" w:cs="Arial"/>
                <w:color w:val="000000"/>
                <w:sz w:val="16"/>
                <w:szCs w:val="16"/>
                <w:lang w:val="pt-PT"/>
              </w:rPr>
              <w:t>Groups</w:t>
            </w:r>
            <w:proofErr w:type="spellEnd"/>
          </w:p>
        </w:tc>
        <w:tc>
          <w:tcPr>
            <w:tcW w:w="3802" w:type="dxa"/>
            <w:tcBorders>
              <w:top w:val="nil"/>
              <w:left w:val="nil"/>
              <w:bottom w:val="single" w:sz="8" w:space="0" w:color="auto"/>
              <w:right w:val="single" w:sz="8" w:space="0" w:color="auto"/>
            </w:tcBorders>
            <w:shd w:val="clear" w:color="auto" w:fill="auto"/>
            <w:noWrap/>
            <w:vAlign w:val="center"/>
            <w:hideMark/>
          </w:tcPr>
          <w:p w:rsidR="00F019D0" w:rsidRPr="00F019D0" w:rsidRDefault="00F019D0" w:rsidP="00F019D0">
            <w:pPr>
              <w:spacing w:after="0" w:line="240" w:lineRule="auto"/>
              <w:jc w:val="center"/>
              <w:rPr>
                <w:rFonts w:ascii="Arial" w:eastAsia="Times New Roman" w:hAnsi="Arial" w:cs="Arial"/>
                <w:color w:val="000000"/>
                <w:sz w:val="16"/>
                <w:szCs w:val="16"/>
                <w:lang w:val="pt-PT"/>
              </w:rPr>
            </w:pPr>
            <w:r w:rsidRPr="00F019D0">
              <w:rPr>
                <w:rFonts w:ascii="Arial" w:eastAsia="Times New Roman" w:hAnsi="Arial" w:cs="Arial"/>
                <w:color w:val="000000"/>
                <w:sz w:val="16"/>
                <w:szCs w:val="16"/>
                <w:lang w:val="pt-PT"/>
              </w:rPr>
              <w:t xml:space="preserve">No </w:t>
            </w:r>
            <w:proofErr w:type="spellStart"/>
            <w:r w:rsidRPr="00F019D0">
              <w:rPr>
                <w:rFonts w:ascii="Arial" w:eastAsia="Times New Roman" w:hAnsi="Arial" w:cs="Arial"/>
                <w:color w:val="000000"/>
                <w:sz w:val="16"/>
                <w:szCs w:val="16"/>
                <w:lang w:val="pt-PT"/>
              </w:rPr>
              <w:t>Groups</w:t>
            </w:r>
            <w:proofErr w:type="spellEnd"/>
          </w:p>
        </w:tc>
      </w:tr>
    </w:tbl>
    <w:p w:rsidR="00F019D0" w:rsidRDefault="00F019D0" w:rsidP="00F019D0">
      <w:pPr>
        <w:spacing w:after="0" w:line="240" w:lineRule="auto"/>
        <w:ind w:firstLine="567"/>
        <w:jc w:val="center"/>
        <w:rPr>
          <w:rFonts w:ascii="Arial" w:hAnsi="Arial" w:cs="Arial"/>
        </w:rPr>
      </w:pPr>
      <w:r w:rsidRPr="00CE2D82">
        <w:rPr>
          <w:rFonts w:ascii="Arial" w:hAnsi="Arial" w:cs="Arial"/>
          <w:sz w:val="18"/>
          <w:szCs w:val="18"/>
        </w:rPr>
        <w:t>Source: Own calculations from INTRACEN Database</w:t>
      </w:r>
    </w:p>
    <w:p w:rsidR="00C23D79" w:rsidRPr="00763118" w:rsidRDefault="00C23D79" w:rsidP="00CE2D82">
      <w:pPr>
        <w:spacing w:after="0" w:line="240" w:lineRule="auto"/>
        <w:jc w:val="both"/>
        <w:rPr>
          <w:rFonts w:ascii="Arial" w:hAnsi="Arial" w:cs="Arial"/>
        </w:rPr>
      </w:pPr>
    </w:p>
    <w:p w:rsidR="004C61C9" w:rsidRPr="00763118" w:rsidRDefault="004C61C9" w:rsidP="004455CB">
      <w:pPr>
        <w:spacing w:after="0" w:line="240" w:lineRule="auto"/>
        <w:ind w:firstLine="567"/>
        <w:rPr>
          <w:rFonts w:ascii="Arial" w:hAnsi="Arial" w:cs="Arial"/>
          <w:b/>
        </w:rPr>
      </w:pPr>
    </w:p>
    <w:p w:rsidR="004C61C9" w:rsidRDefault="00E948D9" w:rsidP="00E948D9">
      <w:pPr>
        <w:spacing w:after="0" w:line="240" w:lineRule="auto"/>
        <w:jc w:val="both"/>
        <w:rPr>
          <w:rFonts w:ascii="Arial" w:hAnsi="Arial" w:cs="Arial"/>
          <w:b/>
          <w:smallCaps/>
        </w:rPr>
      </w:pPr>
      <w:r w:rsidRPr="00E948D9">
        <w:rPr>
          <w:rFonts w:ascii="Arial" w:hAnsi="Arial" w:cs="Arial"/>
          <w:b/>
          <w:smallCaps/>
        </w:rPr>
        <w:t>VI. MAIN CONCLUSIONS</w:t>
      </w:r>
    </w:p>
    <w:p w:rsidR="00CE3D60" w:rsidRPr="00763118" w:rsidRDefault="00CE3D60" w:rsidP="00E948D9">
      <w:pPr>
        <w:spacing w:after="0" w:line="240" w:lineRule="auto"/>
        <w:jc w:val="both"/>
        <w:rPr>
          <w:rFonts w:ascii="Arial" w:hAnsi="Arial" w:cs="Arial"/>
          <w:b/>
          <w:smallCaps/>
        </w:rPr>
      </w:pPr>
    </w:p>
    <w:p w:rsidR="004C61C9" w:rsidRDefault="00AB7314" w:rsidP="004455CB">
      <w:pPr>
        <w:spacing w:after="0" w:line="240" w:lineRule="auto"/>
        <w:ind w:firstLine="567"/>
        <w:jc w:val="both"/>
        <w:rPr>
          <w:rFonts w:ascii="Arial" w:hAnsi="Arial" w:cs="Arial"/>
        </w:rPr>
      </w:pPr>
      <w:r w:rsidRPr="00763118">
        <w:rPr>
          <w:rFonts w:ascii="Arial" w:hAnsi="Arial" w:cs="Arial"/>
        </w:rPr>
        <w:t xml:space="preserve">Observing the </w:t>
      </w:r>
      <w:r w:rsidR="00110D01">
        <w:rPr>
          <w:rFonts w:ascii="Arial" w:hAnsi="Arial" w:cs="Arial"/>
        </w:rPr>
        <w:t xml:space="preserve">revealed comparative advantages and the trade </w:t>
      </w:r>
      <w:proofErr w:type="spellStart"/>
      <w:r w:rsidR="00110D01">
        <w:rPr>
          <w:rFonts w:ascii="Arial" w:hAnsi="Arial" w:cs="Arial"/>
        </w:rPr>
        <w:t>complementarity</w:t>
      </w:r>
      <w:proofErr w:type="spellEnd"/>
      <w:r w:rsidRPr="00763118">
        <w:rPr>
          <w:rFonts w:ascii="Arial" w:hAnsi="Arial" w:cs="Arial"/>
        </w:rPr>
        <w:t>,</w:t>
      </w:r>
      <w:r w:rsidR="00110D01">
        <w:rPr>
          <w:rFonts w:ascii="Arial" w:hAnsi="Arial" w:cs="Arial"/>
        </w:rPr>
        <w:t xml:space="preserve"> it can be verified that the</w:t>
      </w:r>
      <w:r w:rsidRPr="00763118">
        <w:rPr>
          <w:rFonts w:ascii="Arial" w:hAnsi="Arial" w:cs="Arial"/>
        </w:rPr>
        <w:t xml:space="preserve"> majority </w:t>
      </w:r>
      <w:r w:rsidR="00110D01">
        <w:rPr>
          <w:rFonts w:ascii="Arial" w:hAnsi="Arial" w:cs="Arial"/>
        </w:rPr>
        <w:t xml:space="preserve">of groups </w:t>
      </w:r>
      <w:r w:rsidRPr="00763118">
        <w:rPr>
          <w:rFonts w:ascii="Arial" w:hAnsi="Arial" w:cs="Arial"/>
        </w:rPr>
        <w:t>coincides between Portugal and Poland. In this regard, we can confirm that both countries have comparative advantages in many of the same groups.</w:t>
      </w:r>
      <w:r w:rsidR="00C23D79" w:rsidRPr="00763118">
        <w:rPr>
          <w:rFonts w:ascii="Arial" w:hAnsi="Arial" w:cs="Arial"/>
        </w:rPr>
        <w:t xml:space="preserve"> </w:t>
      </w:r>
      <w:r w:rsidR="00EB34C8" w:rsidRPr="00763118">
        <w:rPr>
          <w:rFonts w:ascii="Arial" w:hAnsi="Arial" w:cs="Arial"/>
        </w:rPr>
        <w:t>Although</w:t>
      </w:r>
      <w:r w:rsidR="004C61C9" w:rsidRPr="00763118">
        <w:rPr>
          <w:rFonts w:ascii="Arial" w:hAnsi="Arial" w:cs="Arial"/>
        </w:rPr>
        <w:t xml:space="preserve"> both countries have a</w:t>
      </w:r>
      <w:r w:rsidR="004C2A3B" w:rsidRPr="00763118">
        <w:rPr>
          <w:rFonts w:ascii="Arial" w:hAnsi="Arial" w:cs="Arial"/>
        </w:rPr>
        <w:t xml:space="preserve"> similar specialization pattern</w:t>
      </w:r>
      <w:r w:rsidR="004C61C9" w:rsidRPr="00763118">
        <w:rPr>
          <w:rFonts w:ascii="Arial" w:hAnsi="Arial" w:cs="Arial"/>
        </w:rPr>
        <w:t xml:space="preserve"> </w:t>
      </w:r>
      <w:r w:rsidRPr="00763118">
        <w:rPr>
          <w:rFonts w:ascii="Arial" w:hAnsi="Arial" w:cs="Arial"/>
        </w:rPr>
        <w:t xml:space="preserve">there </w:t>
      </w:r>
      <w:r w:rsidR="00BB3066" w:rsidRPr="00763118">
        <w:rPr>
          <w:rFonts w:ascii="Arial" w:hAnsi="Arial" w:cs="Arial"/>
        </w:rPr>
        <w:t xml:space="preserve">are differences to be </w:t>
      </w:r>
      <w:r w:rsidR="00F72B3D" w:rsidRPr="00763118">
        <w:rPr>
          <w:rFonts w:ascii="Arial" w:hAnsi="Arial" w:cs="Arial"/>
        </w:rPr>
        <w:t>pointed out in terms of export performance.</w:t>
      </w:r>
    </w:p>
    <w:p w:rsidR="004705DB" w:rsidRDefault="00094614" w:rsidP="004705DB">
      <w:pPr>
        <w:spacing w:after="0" w:line="240" w:lineRule="auto"/>
        <w:ind w:firstLine="567"/>
        <w:jc w:val="both"/>
        <w:rPr>
          <w:rFonts w:ascii="Arial" w:hAnsi="Arial" w:cs="Arial"/>
        </w:rPr>
      </w:pPr>
      <w:r>
        <w:rPr>
          <w:rFonts w:ascii="Arial" w:hAnsi="Arial" w:cs="Arial"/>
        </w:rPr>
        <w:t>The first difference is the evolution in bot</w:t>
      </w:r>
      <w:r w:rsidR="00110D01">
        <w:rPr>
          <w:rFonts w:ascii="Arial" w:hAnsi="Arial" w:cs="Arial"/>
        </w:rPr>
        <w:t xml:space="preserve">h </w:t>
      </w:r>
      <w:r w:rsidR="00102529">
        <w:rPr>
          <w:rFonts w:ascii="Arial" w:hAnsi="Arial" w:cs="Arial"/>
        </w:rPr>
        <w:t xml:space="preserve">countries export performance. </w:t>
      </w:r>
      <w:r>
        <w:rPr>
          <w:rFonts w:ascii="Arial" w:hAnsi="Arial" w:cs="Arial"/>
        </w:rPr>
        <w:t xml:space="preserve">Portugal registered a </w:t>
      </w:r>
      <w:r w:rsidR="008F25D4">
        <w:rPr>
          <w:rFonts w:ascii="Arial" w:hAnsi="Arial" w:cs="Arial"/>
        </w:rPr>
        <w:t xml:space="preserve">significant </w:t>
      </w:r>
      <w:r>
        <w:rPr>
          <w:rFonts w:ascii="Arial" w:hAnsi="Arial" w:cs="Arial"/>
        </w:rPr>
        <w:t xml:space="preserve">positive performance on individual </w:t>
      </w:r>
      <w:r w:rsidR="00D6006C">
        <w:rPr>
          <w:rFonts w:ascii="Arial" w:hAnsi="Arial" w:cs="Arial"/>
        </w:rPr>
        <w:t>groups, such as Min</w:t>
      </w:r>
      <w:r>
        <w:rPr>
          <w:rFonts w:ascii="Arial" w:hAnsi="Arial" w:cs="Arial"/>
        </w:rPr>
        <w:t xml:space="preserve">eral Fuels, Rubber and Plastic and Iron, Steel and Copper (Groups 8, </w:t>
      </w:r>
      <w:r w:rsidR="008F25D4">
        <w:rPr>
          <w:rFonts w:ascii="Arial" w:hAnsi="Arial" w:cs="Arial"/>
        </w:rPr>
        <w:t xml:space="preserve">14 and 24). </w:t>
      </w:r>
      <w:r w:rsidR="009A4334">
        <w:rPr>
          <w:rFonts w:ascii="Arial" w:hAnsi="Arial" w:cs="Arial"/>
        </w:rPr>
        <w:t>Such positive performan</w:t>
      </w:r>
      <w:r w:rsidR="00E230D6">
        <w:rPr>
          <w:rFonts w:ascii="Arial" w:hAnsi="Arial" w:cs="Arial"/>
        </w:rPr>
        <w:t>ce is coincident with Portugal’s</w:t>
      </w:r>
      <w:r w:rsidR="009A4334">
        <w:rPr>
          <w:rFonts w:ascii="Arial" w:hAnsi="Arial" w:cs="Arial"/>
        </w:rPr>
        <w:t xml:space="preserve"> Revealed Com</w:t>
      </w:r>
      <w:r w:rsidR="00E230D6">
        <w:rPr>
          <w:rFonts w:ascii="Arial" w:hAnsi="Arial" w:cs="Arial"/>
        </w:rPr>
        <w:t xml:space="preserve">parative Advantage to the EU15. On the opposite side, the groups that had the least positive performance were the Traditional Sectors (Groups 18 to 21). </w:t>
      </w:r>
      <w:r w:rsidR="00CE3D60">
        <w:rPr>
          <w:rFonts w:ascii="Arial" w:hAnsi="Arial" w:cs="Arial"/>
        </w:rPr>
        <w:t>S</w:t>
      </w:r>
      <w:r w:rsidR="00E230D6">
        <w:rPr>
          <w:rFonts w:ascii="Arial" w:hAnsi="Arial" w:cs="Arial"/>
        </w:rPr>
        <w:t xml:space="preserve">uch is not related to </w:t>
      </w:r>
      <w:r w:rsidR="00D6006C">
        <w:rPr>
          <w:rFonts w:ascii="Arial" w:hAnsi="Arial" w:cs="Arial"/>
        </w:rPr>
        <w:t>Portugal’s comparative advantages, as these groups have comparative advantages in all periods, but instead to a loss of competitiveness, which was later regained in the final peri</w:t>
      </w:r>
      <w:r w:rsidR="004705DB">
        <w:rPr>
          <w:rFonts w:ascii="Arial" w:hAnsi="Arial" w:cs="Arial"/>
        </w:rPr>
        <w:t xml:space="preserve">od, due to greater added value. </w:t>
      </w:r>
      <w:r w:rsidR="00D6006C">
        <w:rPr>
          <w:rFonts w:ascii="Arial" w:hAnsi="Arial" w:cs="Arial"/>
        </w:rPr>
        <w:t>Poland’s evolution is associated with a greater specialization in machinery and the automobile industry.</w:t>
      </w:r>
      <w:r w:rsidR="004705DB">
        <w:rPr>
          <w:rFonts w:ascii="Arial" w:hAnsi="Arial" w:cs="Arial"/>
        </w:rPr>
        <w:t xml:space="preserve"> Such is observable in both groups comparative advantages throughout the </w:t>
      </w:r>
      <w:proofErr w:type="spellStart"/>
      <w:r w:rsidR="004705DB">
        <w:rPr>
          <w:rFonts w:ascii="Arial" w:hAnsi="Arial" w:cs="Arial"/>
        </w:rPr>
        <w:t>subperiods</w:t>
      </w:r>
      <w:proofErr w:type="spellEnd"/>
      <w:r w:rsidR="004705DB">
        <w:rPr>
          <w:rFonts w:ascii="Arial" w:hAnsi="Arial" w:cs="Arial"/>
        </w:rPr>
        <w:t xml:space="preserve"> and in both groups export variation in the total period.</w:t>
      </w:r>
    </w:p>
    <w:p w:rsidR="00E948D9" w:rsidRPr="00CE3D60" w:rsidRDefault="004705DB" w:rsidP="00CE3D60">
      <w:pPr>
        <w:spacing w:after="0" w:line="240" w:lineRule="auto"/>
        <w:ind w:firstLine="567"/>
        <w:jc w:val="both"/>
        <w:rPr>
          <w:rFonts w:ascii="Arial" w:hAnsi="Arial" w:cs="Arial"/>
        </w:rPr>
      </w:pPr>
      <w:r>
        <w:rPr>
          <w:rFonts w:ascii="Arial" w:hAnsi="Arial" w:cs="Arial"/>
        </w:rPr>
        <w:t xml:space="preserve">A second important difference is that Poland </w:t>
      </w:r>
      <w:r w:rsidR="00974418" w:rsidRPr="00763118">
        <w:rPr>
          <w:rFonts w:ascii="Arial" w:hAnsi="Arial" w:cs="Arial"/>
        </w:rPr>
        <w:t xml:space="preserve">did not have comparative advantages in </w:t>
      </w:r>
      <w:r w:rsidR="00110D01">
        <w:rPr>
          <w:rFonts w:ascii="Arial" w:hAnsi="Arial" w:cs="Arial"/>
        </w:rPr>
        <w:t>Portugal’s most affected sectors –</w:t>
      </w:r>
      <w:r w:rsidR="00C14164">
        <w:rPr>
          <w:rFonts w:ascii="Arial" w:hAnsi="Arial" w:cs="Arial"/>
        </w:rPr>
        <w:t xml:space="preserve"> </w:t>
      </w:r>
      <w:r w:rsidR="00110D01">
        <w:rPr>
          <w:rFonts w:ascii="Arial" w:hAnsi="Arial" w:cs="Arial"/>
        </w:rPr>
        <w:t xml:space="preserve">the </w:t>
      </w:r>
      <w:r w:rsidR="00C14164">
        <w:rPr>
          <w:rFonts w:ascii="Arial" w:hAnsi="Arial" w:cs="Arial"/>
        </w:rPr>
        <w:t>traditional sectors</w:t>
      </w:r>
      <w:r w:rsidR="00974418" w:rsidRPr="00763118">
        <w:rPr>
          <w:rFonts w:ascii="Arial" w:hAnsi="Arial" w:cs="Arial"/>
        </w:rPr>
        <w:t>. Although Poland’s entry to the European Union could have a major impact on Portugal’s export performance, as both countries have a similar specialization pattern, it is acknowledgeable that the entry of such large economy did not have the expec</w:t>
      </w:r>
      <w:r w:rsidR="00C14164">
        <w:rPr>
          <w:rFonts w:ascii="Arial" w:hAnsi="Arial" w:cs="Arial"/>
        </w:rPr>
        <w:t>ted negative impact in Portugal, at least</w:t>
      </w:r>
      <w:r>
        <w:rPr>
          <w:rFonts w:ascii="Arial" w:hAnsi="Arial" w:cs="Arial"/>
        </w:rPr>
        <w:t xml:space="preserve"> in Portugal’s worst performing</w:t>
      </w:r>
      <w:r w:rsidR="00C14164">
        <w:rPr>
          <w:rFonts w:ascii="Arial" w:hAnsi="Arial" w:cs="Arial"/>
        </w:rPr>
        <w:t xml:space="preserve"> groups.</w:t>
      </w:r>
      <w:r w:rsidR="006118F7" w:rsidRPr="00763118">
        <w:rPr>
          <w:rFonts w:ascii="Arial" w:hAnsi="Arial" w:cs="Arial"/>
        </w:rPr>
        <w:t xml:space="preserve"> Portugal’s traditional sectors, groups 18 to 21, had a minor impact on Poland’s export growth. Such can be explained by two reasons: first, excluding particular periods (such as the period of 2001-2003 on </w:t>
      </w:r>
      <w:proofErr w:type="gramStart"/>
      <w:r w:rsidR="006118F7" w:rsidRPr="00763118">
        <w:rPr>
          <w:rFonts w:ascii="Arial" w:hAnsi="Arial" w:cs="Arial"/>
        </w:rPr>
        <w:t>group</w:t>
      </w:r>
      <w:proofErr w:type="gramEnd"/>
      <w:r w:rsidR="006118F7" w:rsidRPr="00763118">
        <w:rPr>
          <w:rFonts w:ascii="Arial" w:hAnsi="Arial" w:cs="Arial"/>
        </w:rPr>
        <w:t xml:space="preserve"> 20 or period 2009-2013 on group 19) Poland did not have comparative advantages on such groups. Secondly, Poland entry to the European Union did not have impact on the geographical orientation of such groups from Poland to the European Union, as before 2004 was already </w:t>
      </w:r>
      <w:r w:rsidR="00C23D79" w:rsidRPr="00763118">
        <w:rPr>
          <w:rFonts w:ascii="Arial" w:hAnsi="Arial" w:cs="Arial"/>
        </w:rPr>
        <w:t>positive</w:t>
      </w:r>
      <w:r w:rsidR="006118F7" w:rsidRPr="00763118">
        <w:rPr>
          <w:rFonts w:ascii="Arial" w:hAnsi="Arial" w:cs="Arial"/>
        </w:rPr>
        <w:t xml:space="preserve"> and as it maintained the same pos</w:t>
      </w:r>
      <w:r w:rsidR="00584D94" w:rsidRPr="00763118">
        <w:rPr>
          <w:rFonts w:ascii="Arial" w:hAnsi="Arial" w:cs="Arial"/>
        </w:rPr>
        <w:t>itive bias without a significant impact on the export performance</w:t>
      </w:r>
      <w:r w:rsidR="005109CD" w:rsidRPr="00763118">
        <w:rPr>
          <w:rFonts w:ascii="Arial" w:hAnsi="Arial" w:cs="Arial"/>
        </w:rPr>
        <w:t>.</w:t>
      </w:r>
    </w:p>
    <w:p w:rsidR="00E948D9" w:rsidRDefault="00110D01" w:rsidP="004455CB">
      <w:pPr>
        <w:spacing w:after="0" w:line="240" w:lineRule="auto"/>
        <w:ind w:firstLine="567"/>
        <w:jc w:val="both"/>
        <w:rPr>
          <w:rFonts w:ascii="Arial" w:hAnsi="Arial" w:cs="Arial"/>
        </w:rPr>
      </w:pPr>
      <w:r w:rsidRPr="004D04F5">
        <w:rPr>
          <w:rFonts w:ascii="Arial" w:hAnsi="Arial" w:cs="Arial"/>
        </w:rPr>
        <w:t>In this sense, we can regard that as both countries had similar revealed comparative advantages in the co</w:t>
      </w:r>
      <w:r w:rsidR="004D04F5" w:rsidRPr="004D04F5">
        <w:rPr>
          <w:rFonts w:ascii="Arial" w:hAnsi="Arial" w:cs="Arial"/>
        </w:rPr>
        <w:t xml:space="preserve">nsidered groups, both countries presented two different tales in the 2000’s towards the EU15. Competitiveness was the determinant factor for such </w:t>
      </w:r>
      <w:r w:rsidR="004D04F5">
        <w:rPr>
          <w:rFonts w:ascii="Arial" w:hAnsi="Arial" w:cs="Arial"/>
        </w:rPr>
        <w:t xml:space="preserve">different performance, as it captured the influence of the total variation of exported in the evaluated periods and groups. Also, geographical orientation missed to capture such differences, as </w:t>
      </w:r>
      <w:r w:rsidR="004D04F5">
        <w:rPr>
          <w:rFonts w:ascii="Arial" w:hAnsi="Arial" w:cs="Arial"/>
        </w:rPr>
        <w:lastRenderedPageBreak/>
        <w:t>well as it was unable to determine Portugal’s exposition to greater competition from Central and Eastern Europe, mostly due to previous trade agreement with the European Union.</w:t>
      </w:r>
    </w:p>
    <w:p w:rsidR="004D04F5" w:rsidRPr="004D04F5" w:rsidRDefault="004D04F5" w:rsidP="004455CB">
      <w:pPr>
        <w:spacing w:after="0" w:line="240" w:lineRule="auto"/>
        <w:ind w:firstLine="567"/>
        <w:jc w:val="both"/>
        <w:rPr>
          <w:rFonts w:ascii="Arial" w:hAnsi="Arial" w:cs="Arial"/>
        </w:rPr>
      </w:pPr>
    </w:p>
    <w:p w:rsidR="00584D94" w:rsidRPr="00EE1BC8" w:rsidRDefault="00E948D9" w:rsidP="003165AA">
      <w:pPr>
        <w:spacing w:after="0" w:line="240" w:lineRule="auto"/>
        <w:jc w:val="both"/>
        <w:rPr>
          <w:rFonts w:ascii="Arial" w:hAnsi="Arial" w:cs="Arial"/>
          <w:b/>
        </w:rPr>
      </w:pPr>
      <w:r w:rsidRPr="00EE1BC8">
        <w:rPr>
          <w:rFonts w:ascii="Arial" w:hAnsi="Arial" w:cs="Arial"/>
          <w:b/>
        </w:rPr>
        <w:t>VII. ADDITIONAL CONSIDERATIONS</w:t>
      </w:r>
    </w:p>
    <w:p w:rsidR="00CE3D60" w:rsidRPr="00EE1BC8" w:rsidRDefault="00CE3D60" w:rsidP="003165AA">
      <w:pPr>
        <w:spacing w:after="0" w:line="240" w:lineRule="auto"/>
        <w:jc w:val="both"/>
        <w:rPr>
          <w:rFonts w:ascii="Arial" w:hAnsi="Arial" w:cs="Arial"/>
          <w:b/>
        </w:rPr>
      </w:pPr>
    </w:p>
    <w:p w:rsidR="00584D94" w:rsidRPr="00EE1BC8" w:rsidRDefault="00584D94" w:rsidP="004455CB">
      <w:pPr>
        <w:spacing w:after="0" w:line="240" w:lineRule="auto"/>
        <w:ind w:firstLine="567"/>
        <w:jc w:val="both"/>
        <w:rPr>
          <w:rFonts w:ascii="Arial" w:hAnsi="Arial" w:cs="Arial"/>
        </w:rPr>
      </w:pPr>
      <w:r w:rsidRPr="00763118">
        <w:rPr>
          <w:rFonts w:ascii="Arial" w:hAnsi="Arial" w:cs="Arial"/>
        </w:rPr>
        <w:t xml:space="preserve">Our conclusions lead us to future research questions. </w:t>
      </w:r>
      <w:r w:rsidR="00110D01">
        <w:rPr>
          <w:rFonts w:ascii="Arial" w:hAnsi="Arial" w:cs="Arial"/>
        </w:rPr>
        <w:t>As it was shown,</w:t>
      </w:r>
      <w:r w:rsidRPr="00763118">
        <w:rPr>
          <w:rFonts w:ascii="Arial" w:hAnsi="Arial" w:cs="Arial"/>
        </w:rPr>
        <w:t xml:space="preserve"> Portugal’s export </w:t>
      </w:r>
      <w:bookmarkStart w:id="0" w:name="_GoBack"/>
      <w:bookmarkEnd w:id="0"/>
      <w:r w:rsidRPr="00763118">
        <w:rPr>
          <w:rFonts w:ascii="Arial" w:hAnsi="Arial" w:cs="Arial"/>
        </w:rPr>
        <w:t xml:space="preserve">performance, Southern Europe’s representative country, was not significantly affected by Poland’s entry to the European Union, the representative country of the 2004 European </w:t>
      </w:r>
      <w:r w:rsidR="00110D01">
        <w:rPr>
          <w:rFonts w:ascii="Arial" w:hAnsi="Arial" w:cs="Arial"/>
        </w:rPr>
        <w:t>Union’s enlargement. In this sense i</w:t>
      </w:r>
      <w:r w:rsidRPr="00763118">
        <w:rPr>
          <w:rFonts w:ascii="Arial" w:hAnsi="Arial" w:cs="Arial"/>
        </w:rPr>
        <w:t xml:space="preserve">t would be interesting to verify if Portugal’s poor export performance in the 2000’s was </w:t>
      </w:r>
      <w:r w:rsidR="00EE1BC8">
        <w:rPr>
          <w:rFonts w:ascii="Arial" w:hAnsi="Arial" w:cs="Arial"/>
        </w:rPr>
        <w:t>influenced by</w:t>
      </w:r>
      <w:r w:rsidRPr="00763118">
        <w:rPr>
          <w:rFonts w:ascii="Arial" w:hAnsi="Arial" w:cs="Arial"/>
        </w:rPr>
        <w:t xml:space="preserve"> another country or count</w:t>
      </w:r>
      <w:r w:rsidR="00EE1BC8">
        <w:rPr>
          <w:rFonts w:ascii="Arial" w:hAnsi="Arial" w:cs="Arial"/>
        </w:rPr>
        <w:t>r</w:t>
      </w:r>
      <w:r w:rsidRPr="00763118">
        <w:rPr>
          <w:rFonts w:ascii="Arial" w:hAnsi="Arial" w:cs="Arial"/>
        </w:rPr>
        <w:t xml:space="preserve">ies of 2004 enlargement, thus </w:t>
      </w:r>
      <w:r w:rsidR="00B407D8" w:rsidRPr="00763118">
        <w:rPr>
          <w:rFonts w:ascii="Arial" w:hAnsi="Arial" w:cs="Arial"/>
        </w:rPr>
        <w:t xml:space="preserve">proving the impact of the central and eastern Europe’s entry to European Union on Southern Europe’s export </w:t>
      </w:r>
      <w:r w:rsidR="00FB4D58" w:rsidRPr="00763118">
        <w:rPr>
          <w:rFonts w:ascii="Arial" w:hAnsi="Arial" w:cs="Arial"/>
        </w:rPr>
        <w:t>performance</w:t>
      </w:r>
      <w:r w:rsidR="00B407D8" w:rsidRPr="00763118">
        <w:rPr>
          <w:rFonts w:ascii="Arial" w:hAnsi="Arial" w:cs="Arial"/>
        </w:rPr>
        <w:t>, or it was due to other factors, such as the China’s entry to the World Tr</w:t>
      </w:r>
      <w:r w:rsidR="00110D01">
        <w:rPr>
          <w:rFonts w:ascii="Arial" w:hAnsi="Arial" w:cs="Arial"/>
        </w:rPr>
        <w:t>ade Organization.</w:t>
      </w:r>
    </w:p>
    <w:p w:rsidR="0087209C" w:rsidRPr="00EE1BC8" w:rsidRDefault="0087209C" w:rsidP="00110D01">
      <w:pPr>
        <w:spacing w:after="0" w:line="360" w:lineRule="auto"/>
        <w:jc w:val="both"/>
        <w:rPr>
          <w:rFonts w:ascii="Arial" w:hAnsi="Arial" w:cs="Arial"/>
        </w:rPr>
      </w:pPr>
    </w:p>
    <w:p w:rsidR="00FB4D58" w:rsidRDefault="003165AA" w:rsidP="00CE3D60">
      <w:pPr>
        <w:spacing w:after="0" w:line="240" w:lineRule="auto"/>
        <w:jc w:val="both"/>
        <w:rPr>
          <w:rFonts w:ascii="Arial" w:eastAsia="Times New Roman" w:hAnsi="Arial" w:cs="Arial"/>
          <w:b/>
          <w:bCs/>
          <w:smallCaps/>
          <w:color w:val="000000"/>
        </w:rPr>
      </w:pPr>
      <w:r w:rsidRPr="00EE1BC8">
        <w:rPr>
          <w:rFonts w:ascii="Arial" w:hAnsi="Arial" w:cs="Arial"/>
          <w:b/>
        </w:rPr>
        <w:t>VIII. BIBLIOGRAPHIC REFERENCES</w:t>
      </w:r>
      <w:r w:rsidR="00E948D9" w:rsidRPr="003165AA">
        <w:rPr>
          <w:rFonts w:ascii="Arial" w:eastAsia="Times New Roman" w:hAnsi="Arial" w:cs="Arial"/>
          <w:b/>
          <w:bCs/>
          <w:smallCaps/>
          <w:color w:val="000000"/>
        </w:rPr>
        <w:t xml:space="preserve"> </w:t>
      </w:r>
    </w:p>
    <w:p w:rsidR="00CE3D60" w:rsidRPr="003165AA" w:rsidRDefault="00CE3D60" w:rsidP="00CE3D60">
      <w:pPr>
        <w:spacing w:after="0" w:line="240" w:lineRule="auto"/>
        <w:jc w:val="both"/>
        <w:rPr>
          <w:rFonts w:ascii="Arial" w:eastAsia="Times New Roman" w:hAnsi="Arial" w:cs="Arial"/>
          <w:b/>
          <w:bCs/>
          <w:smallCaps/>
          <w:color w:val="000000"/>
        </w:rPr>
      </w:pPr>
    </w:p>
    <w:p w:rsidR="002C3656" w:rsidRPr="000A3EDF" w:rsidRDefault="002C3656" w:rsidP="003478DE">
      <w:pPr>
        <w:spacing w:after="0" w:line="240" w:lineRule="auto"/>
        <w:ind w:left="567" w:hanging="567"/>
        <w:jc w:val="both"/>
        <w:rPr>
          <w:rFonts w:ascii="Arial" w:hAnsi="Arial" w:cs="Arial"/>
        </w:rPr>
      </w:pPr>
      <w:r w:rsidRPr="000A3EDF">
        <w:rPr>
          <w:rFonts w:ascii="Arial" w:hAnsi="Arial" w:cs="Arial"/>
        </w:rPr>
        <w:t>Amador, J.,</w:t>
      </w:r>
      <w:r w:rsidR="00276877" w:rsidRPr="000A3EDF">
        <w:rPr>
          <w:rFonts w:ascii="Arial" w:hAnsi="Arial" w:cs="Arial"/>
        </w:rPr>
        <w:t xml:space="preserve"> Cabral, S. and </w:t>
      </w:r>
      <w:proofErr w:type="spellStart"/>
      <w:r w:rsidR="00276877" w:rsidRPr="000A3EDF">
        <w:rPr>
          <w:rFonts w:ascii="Arial" w:hAnsi="Arial" w:cs="Arial"/>
        </w:rPr>
        <w:t>Opromolla</w:t>
      </w:r>
      <w:proofErr w:type="spellEnd"/>
      <w:r w:rsidR="00276877" w:rsidRPr="000A3EDF">
        <w:rPr>
          <w:rFonts w:ascii="Arial" w:hAnsi="Arial" w:cs="Arial"/>
        </w:rPr>
        <w:t>, L., 2009.</w:t>
      </w:r>
      <w:r w:rsidRPr="000A3EDF">
        <w:rPr>
          <w:rFonts w:ascii="Arial" w:hAnsi="Arial" w:cs="Arial"/>
        </w:rPr>
        <w:t xml:space="preserve"> A portrait of  Portuguese International Trade, in The Portuguese Economy in the context of Economic, Financial and Monetary Integration</w:t>
      </w:r>
      <w:r w:rsidR="00276877" w:rsidRPr="000A3EDF">
        <w:rPr>
          <w:rFonts w:ascii="Arial" w:hAnsi="Arial" w:cs="Arial"/>
        </w:rPr>
        <w:t xml:space="preserve">, </w:t>
      </w:r>
      <w:proofErr w:type="spellStart"/>
      <w:r w:rsidR="00276877" w:rsidRPr="000A3EDF">
        <w:rPr>
          <w:rFonts w:ascii="Arial" w:hAnsi="Arial" w:cs="Arial"/>
          <w:i/>
        </w:rPr>
        <w:t>Banco</w:t>
      </w:r>
      <w:proofErr w:type="spellEnd"/>
      <w:r w:rsidR="00276877" w:rsidRPr="000A3EDF">
        <w:rPr>
          <w:rFonts w:ascii="Arial" w:hAnsi="Arial" w:cs="Arial"/>
          <w:i/>
        </w:rPr>
        <w:t xml:space="preserve"> de Portugal</w:t>
      </w:r>
      <w:r w:rsidR="00276877" w:rsidRPr="000A3EDF">
        <w:rPr>
          <w:rFonts w:ascii="Arial" w:hAnsi="Arial" w:cs="Arial"/>
        </w:rPr>
        <w:t xml:space="preserve"> [online] Available at</w:t>
      </w:r>
      <w:r w:rsidRPr="000A3EDF">
        <w:rPr>
          <w:rFonts w:ascii="Arial" w:hAnsi="Arial" w:cs="Arial"/>
        </w:rPr>
        <w:t xml:space="preserve">: </w:t>
      </w:r>
      <w:r w:rsidR="00276877" w:rsidRPr="000A3EDF">
        <w:rPr>
          <w:rFonts w:ascii="Arial" w:hAnsi="Arial" w:cs="Arial"/>
        </w:rPr>
        <w:t>&lt;</w:t>
      </w:r>
      <w:r w:rsidRPr="000A3EDF">
        <w:rPr>
          <w:rFonts w:ascii="Arial" w:hAnsi="Arial" w:cs="Arial"/>
        </w:rPr>
        <w:t>http://www.bportugal.pt/en-US/BdP%20Publications%20Research/bk200901.pdf</w:t>
      </w:r>
      <w:r w:rsidR="00276877" w:rsidRPr="000A3EDF">
        <w:rPr>
          <w:rFonts w:ascii="Arial" w:hAnsi="Arial" w:cs="Arial"/>
        </w:rPr>
        <w:t>&gt;</w:t>
      </w:r>
      <w:r w:rsidRPr="000A3EDF">
        <w:rPr>
          <w:rFonts w:ascii="Arial" w:hAnsi="Arial" w:cs="Arial"/>
        </w:rPr>
        <w:t xml:space="preserve"> [</w:t>
      </w:r>
      <w:r w:rsidR="00276877" w:rsidRPr="000A3EDF">
        <w:rPr>
          <w:rFonts w:ascii="Arial" w:hAnsi="Arial" w:cs="Arial"/>
        </w:rPr>
        <w:t>A</w:t>
      </w:r>
      <w:r w:rsidRPr="000A3EDF">
        <w:rPr>
          <w:rFonts w:ascii="Arial" w:hAnsi="Arial" w:cs="Arial"/>
        </w:rPr>
        <w:t xml:space="preserve">ccessed </w:t>
      </w:r>
      <w:r w:rsidR="00276877" w:rsidRPr="000A3EDF">
        <w:rPr>
          <w:rFonts w:ascii="Arial" w:hAnsi="Arial" w:cs="Arial"/>
        </w:rPr>
        <w:t>05 June 2014</w:t>
      </w:r>
      <w:r w:rsidRPr="000A3EDF">
        <w:rPr>
          <w:rFonts w:ascii="Arial" w:hAnsi="Arial" w:cs="Arial"/>
        </w:rPr>
        <w:t>]</w:t>
      </w:r>
      <w:r w:rsidR="00276877" w:rsidRPr="000A3EDF">
        <w:rPr>
          <w:rFonts w:ascii="Arial" w:hAnsi="Arial" w:cs="Arial"/>
        </w:rPr>
        <w:t>.</w:t>
      </w:r>
    </w:p>
    <w:p w:rsidR="0079202D" w:rsidRPr="000A3EDF" w:rsidRDefault="00276877" w:rsidP="003478DE">
      <w:pPr>
        <w:spacing w:after="0" w:line="240" w:lineRule="auto"/>
        <w:ind w:left="567" w:hanging="567"/>
        <w:jc w:val="both"/>
        <w:rPr>
          <w:rFonts w:ascii="Arial" w:hAnsi="Arial" w:cs="Arial"/>
        </w:rPr>
      </w:pPr>
      <w:proofErr w:type="gramStart"/>
      <w:r w:rsidRPr="000A3EDF">
        <w:rPr>
          <w:rFonts w:ascii="Arial" w:hAnsi="Arial" w:cs="Arial"/>
        </w:rPr>
        <w:t>APPICAPS, 2012.</w:t>
      </w:r>
      <w:proofErr w:type="gramEnd"/>
      <w:r w:rsidR="0079202D" w:rsidRPr="000A3EDF">
        <w:rPr>
          <w:rFonts w:ascii="Arial" w:hAnsi="Arial" w:cs="Arial"/>
        </w:rPr>
        <w:t xml:space="preserve"> </w:t>
      </w:r>
      <w:r w:rsidR="0079202D" w:rsidRPr="000A3EDF">
        <w:rPr>
          <w:rFonts w:ascii="Arial" w:hAnsi="Arial" w:cs="Arial"/>
          <w:i/>
        </w:rPr>
        <w:t>World Footwear: 2012 Yearbook</w:t>
      </w:r>
      <w:r w:rsidRPr="000A3EDF">
        <w:rPr>
          <w:rFonts w:ascii="Arial" w:hAnsi="Arial" w:cs="Arial"/>
        </w:rPr>
        <w:t xml:space="preserve"> [on</w:t>
      </w:r>
      <w:r w:rsidR="0079202D" w:rsidRPr="000A3EDF">
        <w:rPr>
          <w:rFonts w:ascii="Arial" w:hAnsi="Arial" w:cs="Arial"/>
        </w:rPr>
        <w:t xml:space="preserve">line] </w:t>
      </w:r>
      <w:r w:rsidRPr="000A3EDF">
        <w:rPr>
          <w:rFonts w:ascii="Arial" w:hAnsi="Arial" w:cs="Arial"/>
        </w:rPr>
        <w:t>Available at</w:t>
      </w:r>
      <w:r w:rsidR="002C3656" w:rsidRPr="000A3EDF">
        <w:rPr>
          <w:rFonts w:ascii="Arial" w:hAnsi="Arial" w:cs="Arial"/>
        </w:rPr>
        <w:t xml:space="preserve">: </w:t>
      </w:r>
      <w:r w:rsidRPr="000A3EDF">
        <w:rPr>
          <w:rFonts w:ascii="Arial" w:hAnsi="Arial" w:cs="Arial"/>
        </w:rPr>
        <w:t>&lt;h</w:t>
      </w:r>
      <w:r w:rsidR="002C3656" w:rsidRPr="000A3EDF">
        <w:rPr>
          <w:rFonts w:ascii="Arial" w:hAnsi="Arial" w:cs="Arial"/>
        </w:rPr>
        <w:t>ttp://www.worldfootwear.com/docs/2012/2012WorldFootwearYearbook.pdf</w:t>
      </w:r>
      <w:r w:rsidRPr="000A3EDF">
        <w:rPr>
          <w:rFonts w:ascii="Arial" w:hAnsi="Arial" w:cs="Arial"/>
        </w:rPr>
        <w:t>&gt; [A</w:t>
      </w:r>
      <w:r w:rsidR="002C3656" w:rsidRPr="000A3EDF">
        <w:rPr>
          <w:rFonts w:ascii="Arial" w:hAnsi="Arial" w:cs="Arial"/>
        </w:rPr>
        <w:t>ccessed</w:t>
      </w:r>
      <w:r w:rsidRPr="000A3EDF">
        <w:rPr>
          <w:rFonts w:ascii="Arial" w:hAnsi="Arial" w:cs="Arial"/>
        </w:rPr>
        <w:t xml:space="preserve"> 30 July 2014</w:t>
      </w:r>
      <w:r w:rsidR="002C3656" w:rsidRPr="000A3EDF">
        <w:rPr>
          <w:rFonts w:ascii="Arial" w:hAnsi="Arial" w:cs="Arial"/>
        </w:rPr>
        <w:t>]</w:t>
      </w:r>
      <w:r w:rsidRPr="000A3EDF">
        <w:rPr>
          <w:rFonts w:ascii="Arial" w:hAnsi="Arial" w:cs="Arial"/>
        </w:rPr>
        <w:t>.</w:t>
      </w:r>
    </w:p>
    <w:p w:rsidR="0087209C" w:rsidRPr="000A3EDF" w:rsidRDefault="00276877" w:rsidP="00CE3D60">
      <w:pPr>
        <w:spacing w:after="0" w:line="240" w:lineRule="auto"/>
        <w:jc w:val="both"/>
        <w:rPr>
          <w:rFonts w:ascii="Arial" w:hAnsi="Arial" w:cs="Arial"/>
          <w:lang w:val="pt-PT"/>
        </w:rPr>
      </w:pPr>
      <w:r w:rsidRPr="000A3EDF">
        <w:rPr>
          <w:rFonts w:ascii="Arial" w:hAnsi="Arial" w:cs="Arial"/>
          <w:lang w:val="pt-PT"/>
        </w:rPr>
        <w:t>Bento, V., 2009.</w:t>
      </w:r>
      <w:r w:rsidR="005E4EFD" w:rsidRPr="000A3EDF">
        <w:rPr>
          <w:rFonts w:ascii="Arial" w:hAnsi="Arial" w:cs="Arial"/>
          <w:lang w:val="pt-PT"/>
        </w:rPr>
        <w:t xml:space="preserve"> </w:t>
      </w:r>
      <w:r w:rsidR="005E4EFD" w:rsidRPr="000A3EDF">
        <w:rPr>
          <w:rFonts w:ascii="Arial" w:hAnsi="Arial" w:cs="Arial"/>
          <w:i/>
          <w:lang w:val="pt-PT"/>
        </w:rPr>
        <w:t>Perceber a</w:t>
      </w:r>
      <w:r w:rsidR="001B0475" w:rsidRPr="000A3EDF">
        <w:rPr>
          <w:rFonts w:ascii="Arial" w:hAnsi="Arial" w:cs="Arial"/>
          <w:i/>
          <w:lang w:val="pt-PT"/>
        </w:rPr>
        <w:t xml:space="preserve"> crise para encontrar o caminho</w:t>
      </w:r>
      <w:r w:rsidR="002C3656" w:rsidRPr="000A3EDF">
        <w:rPr>
          <w:rFonts w:ascii="Arial" w:hAnsi="Arial" w:cs="Arial"/>
          <w:lang w:val="pt-PT"/>
        </w:rPr>
        <w:t>. 3rd ed.</w:t>
      </w:r>
      <w:r w:rsidR="001B0475" w:rsidRPr="000A3EDF">
        <w:rPr>
          <w:rFonts w:ascii="Arial" w:hAnsi="Arial" w:cs="Arial"/>
          <w:lang w:val="pt-PT"/>
        </w:rPr>
        <w:t xml:space="preserve"> </w:t>
      </w:r>
      <w:proofErr w:type="spellStart"/>
      <w:r w:rsidR="001B0475" w:rsidRPr="000A3EDF">
        <w:rPr>
          <w:rFonts w:ascii="Arial" w:hAnsi="Arial" w:cs="Arial"/>
          <w:lang w:val="pt-PT"/>
        </w:rPr>
        <w:t>Bnomics</w:t>
      </w:r>
      <w:proofErr w:type="spellEnd"/>
      <w:r w:rsidR="001B0475" w:rsidRPr="000A3EDF">
        <w:rPr>
          <w:rFonts w:ascii="Arial" w:hAnsi="Arial" w:cs="Arial"/>
          <w:lang w:val="pt-PT"/>
        </w:rPr>
        <w:t>, Lisboa.</w:t>
      </w:r>
    </w:p>
    <w:p w:rsidR="0087209C" w:rsidRPr="000A3EDF" w:rsidRDefault="00276877" w:rsidP="003478DE">
      <w:pPr>
        <w:autoSpaceDE w:val="0"/>
        <w:autoSpaceDN w:val="0"/>
        <w:adjustRightInd w:val="0"/>
        <w:spacing w:after="0" w:line="240" w:lineRule="auto"/>
        <w:ind w:left="567" w:hanging="567"/>
        <w:rPr>
          <w:rFonts w:ascii="Arial" w:eastAsia="Times New Roman" w:hAnsi="Arial" w:cs="Arial"/>
          <w:color w:val="000000"/>
        </w:rPr>
      </w:pPr>
      <w:r w:rsidRPr="000A3EDF">
        <w:rPr>
          <w:rFonts w:ascii="Arial" w:eastAsia="Times New Roman" w:hAnsi="Arial" w:cs="Arial"/>
        </w:rPr>
        <w:t>Blanchard, O., 2006</w:t>
      </w:r>
      <w:r w:rsidR="0087209C" w:rsidRPr="000A3EDF">
        <w:rPr>
          <w:rFonts w:ascii="Arial" w:eastAsia="Times New Roman" w:hAnsi="Arial" w:cs="Arial"/>
        </w:rPr>
        <w:t xml:space="preserve">. </w:t>
      </w:r>
      <w:proofErr w:type="gramStart"/>
      <w:r w:rsidR="0087209C" w:rsidRPr="000A3EDF">
        <w:rPr>
          <w:rFonts w:ascii="Arial" w:eastAsia="Times New Roman" w:hAnsi="Arial" w:cs="Arial"/>
          <w:i/>
          <w:iCs/>
        </w:rPr>
        <w:t>Adjustment within the euro.</w:t>
      </w:r>
      <w:proofErr w:type="gramEnd"/>
      <w:r w:rsidR="0087209C" w:rsidRPr="000A3EDF">
        <w:rPr>
          <w:rFonts w:ascii="Arial" w:eastAsia="Times New Roman" w:hAnsi="Arial" w:cs="Arial"/>
          <w:i/>
          <w:iCs/>
        </w:rPr>
        <w:t xml:space="preserve"> The difficult case of Portugal</w:t>
      </w:r>
      <w:r w:rsidRPr="000A3EDF">
        <w:rPr>
          <w:rFonts w:ascii="Arial" w:eastAsia="Times New Roman" w:hAnsi="Arial" w:cs="Arial"/>
        </w:rPr>
        <w:t xml:space="preserve"> [online] Available at</w:t>
      </w:r>
      <w:r w:rsidR="0087209C" w:rsidRPr="000A3EDF">
        <w:rPr>
          <w:rFonts w:ascii="Arial" w:eastAsia="Times New Roman" w:hAnsi="Arial" w:cs="Arial"/>
        </w:rPr>
        <w:t>: http:</w:t>
      </w:r>
      <w:r w:rsidRPr="000A3EDF">
        <w:rPr>
          <w:rFonts w:ascii="Arial" w:eastAsia="Times New Roman" w:hAnsi="Arial" w:cs="Arial"/>
        </w:rPr>
        <w:t>//economics.mit.edu/files/740 [Accessed 24 June</w:t>
      </w:r>
      <w:r w:rsidR="0087209C" w:rsidRPr="000A3EDF">
        <w:rPr>
          <w:rFonts w:ascii="Arial" w:eastAsia="Times New Roman" w:hAnsi="Arial" w:cs="Arial"/>
        </w:rPr>
        <w:t xml:space="preserve"> 2014] </w:t>
      </w:r>
    </w:p>
    <w:p w:rsidR="0087209C" w:rsidRPr="000A3EDF" w:rsidRDefault="0087209C" w:rsidP="003478DE">
      <w:pPr>
        <w:autoSpaceDE w:val="0"/>
        <w:autoSpaceDN w:val="0"/>
        <w:adjustRightInd w:val="0"/>
        <w:spacing w:after="0" w:line="240" w:lineRule="auto"/>
        <w:ind w:left="567" w:hanging="567"/>
        <w:rPr>
          <w:rFonts w:ascii="Arial" w:eastAsia="Times New Roman" w:hAnsi="Arial" w:cs="Arial"/>
        </w:rPr>
      </w:pPr>
      <w:proofErr w:type="spellStart"/>
      <w:proofErr w:type="gramStart"/>
      <w:r w:rsidRPr="000A3EDF">
        <w:rPr>
          <w:rFonts w:ascii="Arial" w:eastAsia="Times New Roman" w:hAnsi="Arial" w:cs="Arial"/>
        </w:rPr>
        <w:t>Bronisz</w:t>
      </w:r>
      <w:proofErr w:type="spellEnd"/>
      <w:r w:rsidRPr="000A3EDF">
        <w:rPr>
          <w:rFonts w:ascii="Arial" w:eastAsia="Times New Roman" w:hAnsi="Arial" w:cs="Arial"/>
        </w:rPr>
        <w:t>, U.</w:t>
      </w:r>
      <w:r w:rsidR="00276877" w:rsidRPr="000A3EDF">
        <w:rPr>
          <w:rFonts w:ascii="Arial" w:eastAsia="Times New Roman" w:hAnsi="Arial" w:cs="Arial"/>
        </w:rPr>
        <w:t xml:space="preserve">, </w:t>
      </w:r>
      <w:proofErr w:type="spellStart"/>
      <w:r w:rsidR="00276877" w:rsidRPr="000A3EDF">
        <w:rPr>
          <w:rFonts w:ascii="Arial" w:eastAsia="Times New Roman" w:hAnsi="Arial" w:cs="Arial"/>
        </w:rPr>
        <w:t>Heijmanm</w:t>
      </w:r>
      <w:proofErr w:type="spellEnd"/>
      <w:r w:rsidR="00276877" w:rsidRPr="000A3EDF">
        <w:rPr>
          <w:rFonts w:ascii="Arial" w:eastAsia="Times New Roman" w:hAnsi="Arial" w:cs="Arial"/>
        </w:rPr>
        <w:t xml:space="preserve"> W. and </w:t>
      </w:r>
      <w:proofErr w:type="spellStart"/>
      <w:r w:rsidR="00276877" w:rsidRPr="000A3EDF">
        <w:rPr>
          <w:rFonts w:ascii="Arial" w:eastAsia="Times New Roman" w:hAnsi="Arial" w:cs="Arial"/>
        </w:rPr>
        <w:t>Miszczuk</w:t>
      </w:r>
      <w:proofErr w:type="spellEnd"/>
      <w:r w:rsidR="00276877" w:rsidRPr="000A3EDF">
        <w:rPr>
          <w:rFonts w:ascii="Arial" w:eastAsia="Times New Roman" w:hAnsi="Arial" w:cs="Arial"/>
        </w:rPr>
        <w:t xml:space="preserve"> A., 2008.</w:t>
      </w:r>
      <w:proofErr w:type="gramEnd"/>
      <w:r w:rsidRPr="000A3EDF">
        <w:rPr>
          <w:rFonts w:ascii="Arial" w:eastAsia="Times New Roman" w:hAnsi="Arial" w:cs="Arial"/>
        </w:rPr>
        <w:t xml:space="preserve"> </w:t>
      </w:r>
      <w:r w:rsidRPr="000A3EDF">
        <w:rPr>
          <w:rFonts w:ascii="Arial" w:eastAsia="Times New Roman" w:hAnsi="Arial" w:cs="Arial"/>
          <w:i/>
        </w:rPr>
        <w:t>Regional Competitiveness in Poland: Creating an Index</w:t>
      </w:r>
      <w:r w:rsidR="00276877" w:rsidRPr="000A3EDF">
        <w:rPr>
          <w:rFonts w:ascii="Arial" w:eastAsia="Times New Roman" w:hAnsi="Arial" w:cs="Arial"/>
        </w:rPr>
        <w:t xml:space="preserve"> [online] Available at</w:t>
      </w:r>
      <w:r w:rsidRPr="000A3EDF">
        <w:rPr>
          <w:rFonts w:ascii="Arial" w:eastAsia="Times New Roman" w:hAnsi="Arial" w:cs="Arial"/>
        </w:rPr>
        <w:t>: http://link.springer.com/articl</w:t>
      </w:r>
      <w:r w:rsidR="00276877" w:rsidRPr="000A3EDF">
        <w:rPr>
          <w:rFonts w:ascii="Arial" w:eastAsia="Times New Roman" w:hAnsi="Arial" w:cs="Arial"/>
        </w:rPr>
        <w:t>e/10.1007%2Fs10037-008-0026-y [Accessed 04 July</w:t>
      </w:r>
      <w:r w:rsidRPr="000A3EDF">
        <w:rPr>
          <w:rFonts w:ascii="Arial" w:eastAsia="Times New Roman" w:hAnsi="Arial" w:cs="Arial"/>
        </w:rPr>
        <w:t xml:space="preserve"> 2014]</w:t>
      </w:r>
    </w:p>
    <w:p w:rsidR="00FB4D58" w:rsidRPr="00EE1BC8" w:rsidRDefault="00FB4D58" w:rsidP="003478DE">
      <w:pPr>
        <w:spacing w:after="0" w:line="240" w:lineRule="auto"/>
        <w:ind w:left="567" w:hanging="567"/>
        <w:jc w:val="both"/>
        <w:rPr>
          <w:rFonts w:ascii="Arial" w:hAnsi="Arial" w:cs="Arial"/>
        </w:rPr>
      </w:pPr>
      <w:r w:rsidRPr="000A3EDF">
        <w:rPr>
          <w:rFonts w:ascii="Arial" w:hAnsi="Arial" w:cs="Arial"/>
          <w:lang w:val="pt-PT"/>
        </w:rPr>
        <w:t>Castilho, M.</w:t>
      </w:r>
      <w:r w:rsidR="003478DE" w:rsidRPr="000A3EDF">
        <w:rPr>
          <w:rFonts w:ascii="Arial" w:hAnsi="Arial" w:cs="Arial"/>
          <w:lang w:val="pt-PT"/>
        </w:rPr>
        <w:t xml:space="preserve">, </w:t>
      </w:r>
      <w:r w:rsidRPr="000A3EDF">
        <w:rPr>
          <w:rFonts w:ascii="Arial" w:hAnsi="Arial" w:cs="Arial"/>
          <w:lang w:val="pt-PT"/>
        </w:rPr>
        <w:t xml:space="preserve">2003) </w:t>
      </w:r>
      <w:r w:rsidR="003478DE" w:rsidRPr="000A3EDF">
        <w:rPr>
          <w:rFonts w:ascii="Arial" w:hAnsi="Arial" w:cs="Arial"/>
          <w:i/>
          <w:lang w:val="pt-PT"/>
        </w:rPr>
        <w:t xml:space="preserve">O </w:t>
      </w:r>
      <w:proofErr w:type="gramStart"/>
      <w:r w:rsidR="003478DE" w:rsidRPr="000A3EDF">
        <w:rPr>
          <w:rFonts w:ascii="Arial" w:hAnsi="Arial" w:cs="Arial"/>
          <w:i/>
          <w:lang w:val="pt-PT"/>
        </w:rPr>
        <w:t>acordo</w:t>
      </w:r>
      <w:proofErr w:type="gramEnd"/>
      <w:r w:rsidR="003478DE" w:rsidRPr="000A3EDF">
        <w:rPr>
          <w:rFonts w:ascii="Arial" w:hAnsi="Arial" w:cs="Arial"/>
          <w:i/>
          <w:lang w:val="pt-PT"/>
        </w:rPr>
        <w:t xml:space="preserve"> Mercosul - União Europeia: </w:t>
      </w:r>
      <w:proofErr w:type="spellStart"/>
      <w:r w:rsidR="003478DE" w:rsidRPr="000A3EDF">
        <w:rPr>
          <w:rFonts w:ascii="Arial" w:hAnsi="Arial" w:cs="Arial"/>
          <w:i/>
          <w:lang w:val="pt-PT"/>
        </w:rPr>
        <w:t>P</w:t>
      </w:r>
      <w:r w:rsidRPr="000A3EDF">
        <w:rPr>
          <w:rFonts w:ascii="Arial" w:hAnsi="Arial" w:cs="Arial"/>
          <w:i/>
          <w:lang w:val="pt-PT"/>
        </w:rPr>
        <w:t>erspectivas</w:t>
      </w:r>
      <w:proofErr w:type="spellEnd"/>
      <w:r w:rsidRPr="000A3EDF">
        <w:rPr>
          <w:rFonts w:ascii="Arial" w:hAnsi="Arial" w:cs="Arial"/>
          <w:i/>
          <w:lang w:val="pt-PT"/>
        </w:rPr>
        <w:t xml:space="preserve"> das exportaçõ</w:t>
      </w:r>
      <w:r w:rsidR="003478DE" w:rsidRPr="000A3EDF">
        <w:rPr>
          <w:rFonts w:ascii="Arial" w:hAnsi="Arial" w:cs="Arial"/>
          <w:i/>
          <w:lang w:val="pt-PT"/>
        </w:rPr>
        <w:t>es de manufa</w:t>
      </w:r>
      <w:r w:rsidRPr="000A3EDF">
        <w:rPr>
          <w:rFonts w:ascii="Arial" w:hAnsi="Arial" w:cs="Arial"/>
          <w:i/>
          <w:lang w:val="pt-PT"/>
        </w:rPr>
        <w:t>turados para o mercado europeu</w:t>
      </w:r>
      <w:r w:rsidRPr="000A3EDF">
        <w:rPr>
          <w:rFonts w:ascii="Arial" w:hAnsi="Arial" w:cs="Arial"/>
          <w:lang w:val="pt-PT"/>
        </w:rPr>
        <w:t xml:space="preserve">. In: </w:t>
      </w:r>
      <w:r w:rsidR="003478DE" w:rsidRPr="000A3EDF">
        <w:rPr>
          <w:rFonts w:ascii="Arial" w:hAnsi="Arial" w:cs="Arial"/>
          <w:lang w:val="pt-PT"/>
        </w:rPr>
        <w:t xml:space="preserve">Moura, H., </w:t>
      </w:r>
      <w:proofErr w:type="spellStart"/>
      <w:r w:rsidR="003478DE" w:rsidRPr="000A3EDF">
        <w:rPr>
          <w:rFonts w:ascii="Arial" w:hAnsi="Arial" w:cs="Arial"/>
          <w:lang w:val="pt-PT"/>
        </w:rPr>
        <w:t>Marconini</w:t>
      </w:r>
      <w:proofErr w:type="spellEnd"/>
      <w:r w:rsidR="003478DE" w:rsidRPr="000A3EDF">
        <w:rPr>
          <w:rFonts w:ascii="Arial" w:hAnsi="Arial" w:cs="Arial"/>
          <w:lang w:val="pt-PT"/>
        </w:rPr>
        <w:t xml:space="preserve">, M. </w:t>
      </w:r>
      <w:proofErr w:type="spellStart"/>
      <w:r w:rsidR="003478DE" w:rsidRPr="000A3EDF">
        <w:rPr>
          <w:rFonts w:ascii="Arial" w:hAnsi="Arial" w:cs="Arial"/>
          <w:lang w:val="pt-PT"/>
        </w:rPr>
        <w:t>and</w:t>
      </w:r>
      <w:proofErr w:type="spellEnd"/>
      <w:r w:rsidR="003478DE" w:rsidRPr="000A3EDF">
        <w:rPr>
          <w:rFonts w:ascii="Arial" w:hAnsi="Arial" w:cs="Arial"/>
          <w:lang w:val="pt-PT"/>
        </w:rPr>
        <w:t xml:space="preserve"> </w:t>
      </w:r>
      <w:proofErr w:type="spellStart"/>
      <w:r w:rsidR="003478DE" w:rsidRPr="000A3EDF">
        <w:rPr>
          <w:rFonts w:ascii="Arial" w:hAnsi="Arial" w:cs="Arial"/>
          <w:lang w:val="pt-PT"/>
        </w:rPr>
        <w:t>Flôres</w:t>
      </w:r>
      <w:proofErr w:type="spellEnd"/>
      <w:r w:rsidR="003478DE" w:rsidRPr="000A3EDF">
        <w:rPr>
          <w:rFonts w:ascii="Arial" w:hAnsi="Arial" w:cs="Arial"/>
          <w:lang w:val="pt-PT"/>
        </w:rPr>
        <w:t>, R., eds.</w:t>
      </w:r>
      <w:r w:rsidRPr="000A3EDF">
        <w:rPr>
          <w:rFonts w:ascii="Arial" w:hAnsi="Arial" w:cs="Arial"/>
          <w:lang w:val="pt-PT"/>
        </w:rPr>
        <w:t xml:space="preserve"> </w:t>
      </w:r>
      <w:r w:rsidR="003478DE" w:rsidRPr="000A3EDF">
        <w:rPr>
          <w:rFonts w:ascii="Arial" w:hAnsi="Arial" w:cs="Arial"/>
          <w:i/>
          <w:lang w:val="pt-PT"/>
        </w:rPr>
        <w:t>Acordo Mercosul -</w:t>
      </w:r>
      <w:r w:rsidRPr="000A3EDF">
        <w:rPr>
          <w:rFonts w:ascii="Arial" w:hAnsi="Arial" w:cs="Arial"/>
          <w:i/>
          <w:lang w:val="pt-PT"/>
        </w:rPr>
        <w:t xml:space="preserve"> União Europeia</w:t>
      </w:r>
      <w:r w:rsidR="003478DE" w:rsidRPr="000A3EDF">
        <w:rPr>
          <w:rFonts w:ascii="Arial" w:hAnsi="Arial" w:cs="Arial"/>
          <w:i/>
          <w:lang w:val="pt-PT"/>
        </w:rPr>
        <w:t>: além da agricultura.</w:t>
      </w:r>
      <w:r w:rsidR="003478DE" w:rsidRPr="000A3EDF">
        <w:rPr>
          <w:rFonts w:ascii="Arial" w:hAnsi="Arial" w:cs="Arial"/>
          <w:lang w:val="pt-PT"/>
        </w:rPr>
        <w:t xml:space="preserve"> </w:t>
      </w:r>
      <w:r w:rsidR="003478DE" w:rsidRPr="00EE1BC8">
        <w:rPr>
          <w:rFonts w:ascii="Arial" w:hAnsi="Arial" w:cs="Arial"/>
        </w:rPr>
        <w:t>Rio de Janeiro: CEBRI, pp. 213-267.</w:t>
      </w:r>
    </w:p>
    <w:p w:rsidR="00A14011" w:rsidRPr="000A3EDF" w:rsidRDefault="00D64C69" w:rsidP="003478DE">
      <w:pPr>
        <w:spacing w:after="0" w:line="240" w:lineRule="auto"/>
        <w:ind w:left="567" w:hanging="567"/>
        <w:jc w:val="both"/>
        <w:rPr>
          <w:rFonts w:ascii="Arial" w:hAnsi="Arial" w:cs="Arial"/>
        </w:rPr>
      </w:pPr>
      <w:r w:rsidRPr="000A3EDF">
        <w:rPr>
          <w:rFonts w:ascii="Arial" w:hAnsi="Arial" w:cs="Arial"/>
        </w:rPr>
        <w:t>Coutinho, L., Fontoura, P., 2012.</w:t>
      </w:r>
      <w:r w:rsidR="00A14011" w:rsidRPr="000A3EDF">
        <w:rPr>
          <w:rFonts w:ascii="Arial" w:hAnsi="Arial" w:cs="Arial"/>
        </w:rPr>
        <w:t xml:space="preserve"> What determines the export performance? </w:t>
      </w:r>
      <w:proofErr w:type="gramStart"/>
      <w:r w:rsidR="00A14011" w:rsidRPr="000A3EDF">
        <w:rPr>
          <w:rFonts w:ascii="Arial" w:hAnsi="Arial" w:cs="Arial"/>
        </w:rPr>
        <w:t>A comparative analysis of China and I</w:t>
      </w:r>
      <w:r w:rsidR="00276877" w:rsidRPr="000A3EDF">
        <w:rPr>
          <w:rFonts w:ascii="Arial" w:hAnsi="Arial" w:cs="Arial"/>
        </w:rPr>
        <w:t>ndia in the European Union.</w:t>
      </w:r>
      <w:proofErr w:type="gramEnd"/>
      <w:r w:rsidR="00276877" w:rsidRPr="000A3EDF">
        <w:rPr>
          <w:rFonts w:ascii="Arial" w:hAnsi="Arial" w:cs="Arial"/>
        </w:rPr>
        <w:t xml:space="preserve"> </w:t>
      </w:r>
      <w:r w:rsidR="00A14011" w:rsidRPr="000A3EDF">
        <w:rPr>
          <w:rFonts w:ascii="Arial" w:hAnsi="Arial" w:cs="Arial"/>
          <w:i/>
        </w:rPr>
        <w:t>EBES</w:t>
      </w:r>
      <w:r w:rsidR="0015268B" w:rsidRPr="000A3EDF">
        <w:rPr>
          <w:rFonts w:ascii="Arial" w:hAnsi="Arial" w:cs="Arial"/>
          <w:i/>
        </w:rPr>
        <w:t xml:space="preserve"> </w:t>
      </w:r>
      <w:r w:rsidR="003478DE" w:rsidRPr="000A3EDF">
        <w:rPr>
          <w:rFonts w:ascii="Arial" w:hAnsi="Arial" w:cs="Arial"/>
          <w:i/>
        </w:rPr>
        <w:t xml:space="preserve">2012 </w:t>
      </w:r>
      <w:r w:rsidR="0015268B" w:rsidRPr="000A3EDF">
        <w:rPr>
          <w:rFonts w:ascii="Arial" w:hAnsi="Arial" w:cs="Arial"/>
          <w:i/>
        </w:rPr>
        <w:t>Anthology</w:t>
      </w:r>
      <w:r w:rsidR="00A14011" w:rsidRPr="000A3EDF">
        <w:rPr>
          <w:rFonts w:ascii="Arial" w:hAnsi="Arial" w:cs="Arial"/>
        </w:rPr>
        <w:t>, pp. 96-110</w:t>
      </w:r>
    </w:p>
    <w:p w:rsidR="00A14011" w:rsidRPr="000A3EDF" w:rsidRDefault="0015268B" w:rsidP="003478DE">
      <w:pPr>
        <w:spacing w:after="0" w:line="240" w:lineRule="auto"/>
        <w:ind w:left="567" w:hanging="567"/>
        <w:jc w:val="both"/>
        <w:rPr>
          <w:rFonts w:ascii="Arial" w:eastAsia="Times New Roman" w:hAnsi="Arial" w:cs="Arial"/>
        </w:rPr>
      </w:pPr>
      <w:proofErr w:type="gramStart"/>
      <w:r w:rsidRPr="000A3EDF">
        <w:rPr>
          <w:rFonts w:ascii="Arial" w:eastAsia="Times New Roman" w:hAnsi="Arial" w:cs="Arial"/>
        </w:rPr>
        <w:t xml:space="preserve">European Commission, </w:t>
      </w:r>
      <w:r w:rsidR="00A14011" w:rsidRPr="000A3EDF">
        <w:rPr>
          <w:rFonts w:ascii="Arial" w:eastAsia="Times New Roman" w:hAnsi="Arial" w:cs="Arial"/>
        </w:rPr>
        <w:t>2011</w:t>
      </w:r>
      <w:r w:rsidRPr="000A3EDF">
        <w:rPr>
          <w:rFonts w:ascii="Arial" w:eastAsia="Times New Roman" w:hAnsi="Arial" w:cs="Arial"/>
        </w:rPr>
        <w:t>.</w:t>
      </w:r>
      <w:proofErr w:type="gramEnd"/>
      <w:r w:rsidR="00A14011" w:rsidRPr="000A3EDF">
        <w:rPr>
          <w:rFonts w:ascii="Arial" w:eastAsia="Times New Roman" w:hAnsi="Arial" w:cs="Arial"/>
        </w:rPr>
        <w:t xml:space="preserve"> </w:t>
      </w:r>
      <w:r w:rsidR="00A14011" w:rsidRPr="000A3EDF">
        <w:rPr>
          <w:rFonts w:ascii="Arial" w:eastAsia="Times New Roman" w:hAnsi="Arial" w:cs="Arial"/>
          <w:i/>
          <w:iCs/>
        </w:rPr>
        <w:t>Innovation Union Competitiveness report 2011: Country profile – Poland</w:t>
      </w:r>
      <w:r w:rsidRPr="000A3EDF">
        <w:rPr>
          <w:rFonts w:ascii="Arial" w:eastAsia="Times New Roman" w:hAnsi="Arial" w:cs="Arial"/>
        </w:rPr>
        <w:t xml:space="preserve"> [online] Available at</w:t>
      </w:r>
      <w:r w:rsidR="00A14011" w:rsidRPr="000A3EDF">
        <w:rPr>
          <w:rFonts w:ascii="Arial" w:eastAsia="Times New Roman" w:hAnsi="Arial" w:cs="Arial"/>
        </w:rPr>
        <w:t>: http://ec.europa.eu/research/innovation-union/pdf/competitiveness-report/2011/countries/polan</w:t>
      </w:r>
      <w:r w:rsidR="00D64C69" w:rsidRPr="000A3EDF">
        <w:rPr>
          <w:rFonts w:ascii="Arial" w:eastAsia="Times New Roman" w:hAnsi="Arial" w:cs="Arial"/>
        </w:rPr>
        <w:t>d.pdf [Accessed</w:t>
      </w:r>
      <w:r w:rsidR="003165AA" w:rsidRPr="000A3EDF">
        <w:rPr>
          <w:rFonts w:ascii="Arial" w:eastAsia="Times New Roman" w:hAnsi="Arial" w:cs="Arial"/>
        </w:rPr>
        <w:t xml:space="preserve"> </w:t>
      </w:r>
      <w:r w:rsidR="00D64C69" w:rsidRPr="000A3EDF">
        <w:rPr>
          <w:rFonts w:ascii="Arial" w:eastAsia="Times New Roman" w:hAnsi="Arial" w:cs="Arial"/>
        </w:rPr>
        <w:t xml:space="preserve">12 July </w:t>
      </w:r>
      <w:r w:rsidR="003165AA" w:rsidRPr="000A3EDF">
        <w:rPr>
          <w:rFonts w:ascii="Arial" w:eastAsia="Times New Roman" w:hAnsi="Arial" w:cs="Arial"/>
        </w:rPr>
        <w:t>2014]</w:t>
      </w:r>
    </w:p>
    <w:p w:rsidR="00A14011" w:rsidRPr="000A3EDF" w:rsidRDefault="00D64C69" w:rsidP="003478DE">
      <w:pPr>
        <w:spacing w:after="0" w:line="240" w:lineRule="auto"/>
        <w:ind w:left="567" w:hanging="567"/>
        <w:jc w:val="both"/>
        <w:rPr>
          <w:rFonts w:ascii="Arial" w:eastAsia="Times New Roman" w:hAnsi="Arial" w:cs="Arial"/>
        </w:rPr>
      </w:pPr>
      <w:proofErr w:type="gramStart"/>
      <w:r w:rsidRPr="000A3EDF">
        <w:rPr>
          <w:rFonts w:ascii="Arial" w:eastAsia="Times New Roman" w:hAnsi="Arial" w:cs="Arial"/>
        </w:rPr>
        <w:t>European Commission, 2014.</w:t>
      </w:r>
      <w:proofErr w:type="gramEnd"/>
      <w:r w:rsidR="00A14011" w:rsidRPr="000A3EDF">
        <w:rPr>
          <w:rFonts w:ascii="Arial" w:eastAsia="Times New Roman" w:hAnsi="Arial" w:cs="Arial"/>
        </w:rPr>
        <w:t xml:space="preserve"> </w:t>
      </w:r>
      <w:r w:rsidR="00A14011" w:rsidRPr="000A3EDF">
        <w:rPr>
          <w:rFonts w:ascii="Arial" w:eastAsia="Times New Roman" w:hAnsi="Arial" w:cs="Arial"/>
          <w:i/>
        </w:rPr>
        <w:t>Member States’ Competitiveness, Performance and Implementation of EU Industrial Policy – Industrial Performance Scoreboard</w:t>
      </w:r>
      <w:r w:rsidR="00A14011" w:rsidRPr="000A3EDF">
        <w:rPr>
          <w:rFonts w:ascii="Arial" w:eastAsia="Times New Roman" w:hAnsi="Arial" w:cs="Arial"/>
        </w:rPr>
        <w:t xml:space="preserve"> [</w:t>
      </w:r>
      <w:r w:rsidRPr="000A3EDF">
        <w:rPr>
          <w:rFonts w:ascii="Arial" w:eastAsia="Times New Roman" w:hAnsi="Arial" w:cs="Arial"/>
        </w:rPr>
        <w:t>on</w:t>
      </w:r>
      <w:r w:rsidR="0015268B" w:rsidRPr="000A3EDF">
        <w:rPr>
          <w:rFonts w:ascii="Arial" w:eastAsia="Times New Roman" w:hAnsi="Arial" w:cs="Arial"/>
        </w:rPr>
        <w:t>line] Available at</w:t>
      </w:r>
      <w:r w:rsidR="00A14011" w:rsidRPr="000A3EDF">
        <w:rPr>
          <w:rFonts w:ascii="Arial" w:eastAsia="Times New Roman" w:hAnsi="Arial" w:cs="Arial"/>
        </w:rPr>
        <w:t>: http://ec.europa.eu/enterprise/policies/industrial-competitiveness/monitori</w:t>
      </w:r>
      <w:r w:rsidRPr="000A3EDF">
        <w:rPr>
          <w:rFonts w:ascii="Arial" w:eastAsia="Times New Roman" w:hAnsi="Arial" w:cs="Arial"/>
        </w:rPr>
        <w:t>ng-member-states/index_en.htm [A</w:t>
      </w:r>
      <w:r w:rsidR="00A14011" w:rsidRPr="000A3EDF">
        <w:rPr>
          <w:rFonts w:ascii="Arial" w:eastAsia="Times New Roman" w:hAnsi="Arial" w:cs="Arial"/>
        </w:rPr>
        <w:t xml:space="preserve">ccessed </w:t>
      </w:r>
      <w:r w:rsidRPr="000A3EDF">
        <w:rPr>
          <w:rFonts w:ascii="Arial" w:eastAsia="Times New Roman" w:hAnsi="Arial" w:cs="Arial"/>
        </w:rPr>
        <w:t>12 July</w:t>
      </w:r>
      <w:r w:rsidR="00A14011" w:rsidRPr="000A3EDF">
        <w:rPr>
          <w:rFonts w:ascii="Arial" w:eastAsia="Times New Roman" w:hAnsi="Arial" w:cs="Arial"/>
        </w:rPr>
        <w:t xml:space="preserve"> 2014]</w:t>
      </w:r>
      <w:r w:rsidR="003478DE" w:rsidRPr="000A3EDF">
        <w:rPr>
          <w:rFonts w:ascii="Arial" w:eastAsia="Times New Roman" w:hAnsi="Arial" w:cs="Arial"/>
        </w:rPr>
        <w:t>.</w:t>
      </w:r>
    </w:p>
    <w:p w:rsidR="00A14011" w:rsidRPr="000A3EDF" w:rsidRDefault="00D64C69" w:rsidP="003478DE">
      <w:pPr>
        <w:autoSpaceDE w:val="0"/>
        <w:autoSpaceDN w:val="0"/>
        <w:adjustRightInd w:val="0"/>
        <w:spacing w:after="0" w:line="240" w:lineRule="auto"/>
        <w:ind w:left="567" w:hanging="567"/>
        <w:rPr>
          <w:rFonts w:ascii="Arial" w:eastAsia="Times New Roman" w:hAnsi="Arial" w:cs="Arial"/>
        </w:rPr>
      </w:pPr>
      <w:proofErr w:type="spellStart"/>
      <w:r w:rsidRPr="000A3EDF">
        <w:rPr>
          <w:rFonts w:ascii="Arial" w:eastAsia="Times New Roman" w:hAnsi="Arial" w:cs="Arial"/>
        </w:rPr>
        <w:t>Glebocka</w:t>
      </w:r>
      <w:proofErr w:type="spellEnd"/>
      <w:r w:rsidRPr="000A3EDF">
        <w:rPr>
          <w:rFonts w:ascii="Arial" w:eastAsia="Times New Roman" w:hAnsi="Arial" w:cs="Arial"/>
        </w:rPr>
        <w:t>, A., 1997.</w:t>
      </w:r>
      <w:r w:rsidR="0087209C" w:rsidRPr="000A3EDF">
        <w:rPr>
          <w:rFonts w:ascii="Arial" w:eastAsia="Times New Roman" w:hAnsi="Arial" w:cs="Arial"/>
        </w:rPr>
        <w:t xml:space="preserve"> </w:t>
      </w:r>
      <w:r w:rsidR="0087209C" w:rsidRPr="000A3EDF">
        <w:rPr>
          <w:rFonts w:ascii="Arial" w:eastAsia="Times New Roman" w:hAnsi="Arial" w:cs="Arial"/>
          <w:i/>
          <w:iCs/>
        </w:rPr>
        <w:t>Competitiveness Policy in Poland in the Face of EU Membership</w:t>
      </w:r>
      <w:r w:rsidRPr="000A3EDF">
        <w:rPr>
          <w:rFonts w:ascii="Arial" w:eastAsia="Times New Roman" w:hAnsi="Arial" w:cs="Arial"/>
        </w:rPr>
        <w:t xml:space="preserve"> [online] Available at</w:t>
      </w:r>
      <w:r w:rsidR="0087209C" w:rsidRPr="000A3EDF">
        <w:rPr>
          <w:rFonts w:ascii="Arial" w:eastAsia="Times New Roman" w:hAnsi="Arial" w:cs="Arial"/>
        </w:rPr>
        <w:t>: http://aei.pitt.edu/2763/1/00253</w:t>
      </w:r>
      <w:r w:rsidRPr="000A3EDF">
        <w:rPr>
          <w:rFonts w:ascii="Arial" w:eastAsia="Times New Roman" w:hAnsi="Arial" w:cs="Arial"/>
        </w:rPr>
        <w:t>7.PDF [Accessed 28 May 2014</w:t>
      </w:r>
      <w:r w:rsidR="002C3656" w:rsidRPr="000A3EDF">
        <w:rPr>
          <w:rFonts w:ascii="Arial" w:eastAsia="Times New Roman" w:hAnsi="Arial" w:cs="Arial"/>
        </w:rPr>
        <w:t>]</w:t>
      </w:r>
      <w:r w:rsidR="003478DE" w:rsidRPr="000A3EDF">
        <w:rPr>
          <w:rFonts w:ascii="Arial" w:eastAsia="Times New Roman" w:hAnsi="Arial" w:cs="Arial"/>
        </w:rPr>
        <w:t>.</w:t>
      </w:r>
    </w:p>
    <w:p w:rsidR="001B0475" w:rsidRPr="000A3EDF" w:rsidRDefault="003478DE" w:rsidP="003478DE">
      <w:pPr>
        <w:shd w:val="clear" w:color="auto" w:fill="FFFFFF"/>
        <w:spacing w:after="0" w:line="240" w:lineRule="auto"/>
        <w:ind w:left="567" w:hanging="567"/>
        <w:jc w:val="both"/>
        <w:textAlignment w:val="baseline"/>
        <w:outlineLvl w:val="0"/>
        <w:rPr>
          <w:rFonts w:ascii="Arial" w:eastAsia="Times New Roman" w:hAnsi="Arial" w:cs="Arial"/>
        </w:rPr>
      </w:pPr>
      <w:proofErr w:type="gramStart"/>
      <w:r w:rsidRPr="000A3EDF">
        <w:rPr>
          <w:rFonts w:ascii="Arial" w:eastAsia="Times New Roman" w:hAnsi="Arial" w:cs="Arial"/>
        </w:rPr>
        <w:t>I</w:t>
      </w:r>
      <w:r w:rsidR="001B0475" w:rsidRPr="000A3EDF">
        <w:rPr>
          <w:rFonts w:ascii="Arial" w:eastAsia="Times New Roman" w:hAnsi="Arial" w:cs="Arial"/>
        </w:rPr>
        <w:t>NTRACE</w:t>
      </w:r>
      <w:r w:rsidR="00D64C69" w:rsidRPr="000A3EDF">
        <w:rPr>
          <w:rFonts w:ascii="Arial" w:eastAsia="Times New Roman" w:hAnsi="Arial" w:cs="Arial"/>
        </w:rPr>
        <w:t>N – International Trade Centre, 2014.</w:t>
      </w:r>
      <w:proofErr w:type="gramEnd"/>
      <w:r w:rsidR="001B0475" w:rsidRPr="000A3EDF">
        <w:rPr>
          <w:rFonts w:ascii="Arial" w:eastAsia="Times New Roman" w:hAnsi="Arial" w:cs="Arial"/>
        </w:rPr>
        <w:t xml:space="preserve"> </w:t>
      </w:r>
      <w:proofErr w:type="gramStart"/>
      <w:r w:rsidR="001B0475" w:rsidRPr="000A3EDF">
        <w:rPr>
          <w:rFonts w:ascii="Arial" w:eastAsia="Times New Roman" w:hAnsi="Arial" w:cs="Arial"/>
          <w:i/>
        </w:rPr>
        <w:t>Trade Map - Trade statistics for international business</w:t>
      </w:r>
      <w:r w:rsidR="001B0475" w:rsidRPr="000A3EDF">
        <w:rPr>
          <w:rFonts w:ascii="Arial" w:eastAsia="Times New Roman" w:hAnsi="Arial" w:cs="Arial"/>
        </w:rPr>
        <w:t xml:space="preserve"> </w:t>
      </w:r>
      <w:r w:rsidR="001B0475" w:rsidRPr="000A3EDF">
        <w:rPr>
          <w:rFonts w:ascii="Arial" w:eastAsia="Times New Roman" w:hAnsi="Arial" w:cs="Arial"/>
          <w:i/>
        </w:rPr>
        <w:t xml:space="preserve">development </w:t>
      </w:r>
      <w:r w:rsidR="00D64C69" w:rsidRPr="000A3EDF">
        <w:rPr>
          <w:rFonts w:ascii="Arial" w:eastAsia="Times New Roman" w:hAnsi="Arial" w:cs="Arial"/>
        </w:rPr>
        <w:t>[online] Available at</w:t>
      </w:r>
      <w:r w:rsidR="001B0475" w:rsidRPr="000A3EDF">
        <w:rPr>
          <w:rFonts w:ascii="Arial" w:eastAsia="Times New Roman" w:hAnsi="Arial" w:cs="Arial"/>
        </w:rPr>
        <w:t>: http:</w:t>
      </w:r>
      <w:r w:rsidR="00D64C69" w:rsidRPr="000A3EDF">
        <w:rPr>
          <w:rFonts w:ascii="Arial" w:eastAsia="Times New Roman" w:hAnsi="Arial" w:cs="Arial"/>
        </w:rPr>
        <w:t>//www.trademap.org/ [Accessed 21 September 2014</w:t>
      </w:r>
      <w:r w:rsidR="001B0475" w:rsidRPr="000A3EDF">
        <w:rPr>
          <w:rFonts w:ascii="Arial" w:eastAsia="Times New Roman" w:hAnsi="Arial" w:cs="Arial"/>
        </w:rPr>
        <w:t>]</w:t>
      </w:r>
      <w:r w:rsidRPr="000A3EDF">
        <w:rPr>
          <w:rFonts w:ascii="Arial" w:eastAsia="Times New Roman" w:hAnsi="Arial" w:cs="Arial"/>
        </w:rPr>
        <w:t>.</w:t>
      </w:r>
      <w:proofErr w:type="gramEnd"/>
    </w:p>
    <w:p w:rsidR="00A14011" w:rsidRPr="00EE1BC8" w:rsidRDefault="00D64C69" w:rsidP="003478DE">
      <w:pPr>
        <w:spacing w:after="0" w:line="240" w:lineRule="auto"/>
        <w:ind w:left="567" w:hanging="567"/>
        <w:rPr>
          <w:rFonts w:ascii="Arial" w:hAnsi="Arial" w:cs="Arial"/>
          <w:lang w:val="pt-PT"/>
        </w:rPr>
      </w:pPr>
      <w:proofErr w:type="spellStart"/>
      <w:r w:rsidRPr="000A3EDF">
        <w:rPr>
          <w:rFonts w:ascii="Arial" w:hAnsi="Arial" w:cs="Arial"/>
        </w:rPr>
        <w:t>Jepma</w:t>
      </w:r>
      <w:proofErr w:type="spellEnd"/>
      <w:r w:rsidRPr="000A3EDF">
        <w:rPr>
          <w:rFonts w:ascii="Arial" w:hAnsi="Arial" w:cs="Arial"/>
        </w:rPr>
        <w:t>, C., 1981</w:t>
      </w:r>
      <w:r w:rsidR="00A14011" w:rsidRPr="000A3EDF">
        <w:rPr>
          <w:rFonts w:ascii="Arial" w:hAnsi="Arial" w:cs="Arial"/>
        </w:rPr>
        <w:t>. An Application of the Constant Market Shares Technique on Trade between the Associated African and Malagasy States and the European Community (1958-1978)</w:t>
      </w:r>
      <w:r w:rsidRPr="000A3EDF">
        <w:rPr>
          <w:rFonts w:ascii="Arial" w:hAnsi="Arial" w:cs="Arial"/>
        </w:rPr>
        <w:t>.</w:t>
      </w:r>
      <w:r w:rsidR="00A14011" w:rsidRPr="000A3EDF">
        <w:rPr>
          <w:rFonts w:ascii="Arial" w:hAnsi="Arial" w:cs="Arial"/>
        </w:rPr>
        <w:t xml:space="preserve"> </w:t>
      </w:r>
      <w:r w:rsidR="00A14011" w:rsidRPr="00EE1BC8">
        <w:rPr>
          <w:rFonts w:ascii="Arial" w:hAnsi="Arial" w:cs="Arial"/>
          <w:i/>
          <w:lang w:val="pt-PT"/>
        </w:rPr>
        <w:t xml:space="preserve">Journal of </w:t>
      </w:r>
      <w:proofErr w:type="spellStart"/>
      <w:r w:rsidR="00A14011" w:rsidRPr="00EE1BC8">
        <w:rPr>
          <w:rFonts w:ascii="Arial" w:hAnsi="Arial" w:cs="Arial"/>
          <w:i/>
          <w:lang w:val="pt-PT"/>
        </w:rPr>
        <w:t>Common</w:t>
      </w:r>
      <w:proofErr w:type="spellEnd"/>
      <w:r w:rsidR="00A14011" w:rsidRPr="00EE1BC8">
        <w:rPr>
          <w:rFonts w:ascii="Arial" w:hAnsi="Arial" w:cs="Arial"/>
          <w:i/>
          <w:lang w:val="pt-PT"/>
        </w:rPr>
        <w:t xml:space="preserve"> </w:t>
      </w:r>
      <w:proofErr w:type="spellStart"/>
      <w:r w:rsidR="00A14011" w:rsidRPr="00EE1BC8">
        <w:rPr>
          <w:rFonts w:ascii="Arial" w:hAnsi="Arial" w:cs="Arial"/>
          <w:i/>
          <w:lang w:val="pt-PT"/>
        </w:rPr>
        <w:t>Market</w:t>
      </w:r>
      <w:proofErr w:type="spellEnd"/>
      <w:r w:rsidR="00A14011" w:rsidRPr="00EE1BC8">
        <w:rPr>
          <w:rFonts w:ascii="Arial" w:hAnsi="Arial" w:cs="Arial"/>
          <w:i/>
          <w:lang w:val="pt-PT"/>
        </w:rPr>
        <w:t xml:space="preserve"> </w:t>
      </w:r>
      <w:proofErr w:type="spellStart"/>
      <w:r w:rsidR="00A14011" w:rsidRPr="00EE1BC8">
        <w:rPr>
          <w:rFonts w:ascii="Arial" w:hAnsi="Arial" w:cs="Arial"/>
          <w:i/>
          <w:lang w:val="pt-PT"/>
        </w:rPr>
        <w:t>Studies</w:t>
      </w:r>
      <w:proofErr w:type="spellEnd"/>
      <w:r w:rsidRPr="00EE1BC8">
        <w:rPr>
          <w:rFonts w:ascii="Arial" w:hAnsi="Arial" w:cs="Arial"/>
          <w:lang w:val="pt-PT"/>
        </w:rPr>
        <w:t xml:space="preserve">, </w:t>
      </w:r>
      <w:proofErr w:type="gramStart"/>
      <w:r w:rsidR="00A14011" w:rsidRPr="00EE1BC8">
        <w:rPr>
          <w:rFonts w:ascii="Arial" w:hAnsi="Arial" w:cs="Arial"/>
          <w:lang w:val="pt-PT"/>
        </w:rPr>
        <w:t>20</w:t>
      </w:r>
      <w:r w:rsidRPr="00EE1BC8">
        <w:rPr>
          <w:rFonts w:ascii="Arial" w:hAnsi="Arial" w:cs="Arial"/>
          <w:lang w:val="pt-PT"/>
        </w:rPr>
        <w:t>(2</w:t>
      </w:r>
      <w:proofErr w:type="gramEnd"/>
      <w:r w:rsidRPr="00EE1BC8">
        <w:rPr>
          <w:rFonts w:ascii="Arial" w:hAnsi="Arial" w:cs="Arial"/>
          <w:lang w:val="pt-PT"/>
        </w:rPr>
        <w:t>)</w:t>
      </w:r>
      <w:r w:rsidR="00A14011" w:rsidRPr="00EE1BC8">
        <w:rPr>
          <w:rFonts w:ascii="Arial" w:hAnsi="Arial" w:cs="Arial"/>
          <w:lang w:val="pt-PT"/>
        </w:rPr>
        <w:t>, pp. 175-192</w:t>
      </w:r>
      <w:r w:rsidRPr="00EE1BC8">
        <w:rPr>
          <w:rFonts w:ascii="Arial" w:hAnsi="Arial" w:cs="Arial"/>
          <w:lang w:val="pt-PT"/>
        </w:rPr>
        <w:t>.</w:t>
      </w:r>
    </w:p>
    <w:p w:rsidR="0087209C" w:rsidRPr="000A3EDF" w:rsidRDefault="00D64C69" w:rsidP="000A3EDF">
      <w:pPr>
        <w:spacing w:after="0" w:line="240" w:lineRule="auto"/>
        <w:ind w:left="567" w:hanging="567"/>
        <w:jc w:val="both"/>
        <w:rPr>
          <w:rFonts w:ascii="Arial" w:eastAsia="Times New Roman" w:hAnsi="Arial" w:cs="Arial"/>
          <w:lang w:val="pt-PT"/>
        </w:rPr>
      </w:pPr>
      <w:r w:rsidRPr="000A3EDF">
        <w:rPr>
          <w:rFonts w:ascii="Arial" w:eastAsia="Times New Roman" w:hAnsi="Arial" w:cs="Arial"/>
          <w:lang w:val="pt-PT"/>
        </w:rPr>
        <w:t>Mendonça, A., 2012</w:t>
      </w:r>
      <w:r w:rsidR="0087209C" w:rsidRPr="000A3EDF">
        <w:rPr>
          <w:rFonts w:ascii="Arial" w:eastAsia="Times New Roman" w:hAnsi="Arial" w:cs="Arial"/>
          <w:lang w:val="pt-PT"/>
        </w:rPr>
        <w:t>. As dimensões da crise económica e financeira atual: A economia global, a Europa e Portugal</w:t>
      </w:r>
      <w:r w:rsidR="000A3EDF" w:rsidRPr="000A3EDF">
        <w:rPr>
          <w:rFonts w:ascii="Arial" w:eastAsia="Times New Roman" w:hAnsi="Arial" w:cs="Arial"/>
          <w:lang w:val="pt-PT"/>
        </w:rPr>
        <w:t>. In: Silva, J. eds</w:t>
      </w:r>
      <w:r w:rsidRPr="000A3EDF">
        <w:rPr>
          <w:rFonts w:ascii="Arial" w:eastAsia="Times New Roman" w:hAnsi="Arial" w:cs="Arial"/>
          <w:lang w:val="pt-PT"/>
        </w:rPr>
        <w:t>.</w:t>
      </w:r>
      <w:r w:rsidR="0087209C" w:rsidRPr="000A3EDF">
        <w:rPr>
          <w:rFonts w:ascii="Arial" w:eastAsia="Times New Roman" w:hAnsi="Arial" w:cs="Arial"/>
          <w:lang w:val="pt-PT"/>
        </w:rPr>
        <w:t xml:space="preserve"> </w:t>
      </w:r>
      <w:r w:rsidR="0087209C" w:rsidRPr="000A3EDF">
        <w:rPr>
          <w:rFonts w:ascii="Arial" w:eastAsia="Times New Roman" w:hAnsi="Arial" w:cs="Arial"/>
          <w:i/>
          <w:iCs/>
          <w:lang w:val="pt-PT"/>
        </w:rPr>
        <w:t>Portugal, a Europa e a Crise Económica e Financeira Internacional</w:t>
      </w:r>
      <w:r w:rsidR="0087209C" w:rsidRPr="000A3EDF">
        <w:rPr>
          <w:rFonts w:ascii="Arial" w:eastAsia="Times New Roman" w:hAnsi="Arial" w:cs="Arial"/>
          <w:lang w:val="pt-PT"/>
        </w:rPr>
        <w:t>, Coimbra: Almedina, pp.81-158</w:t>
      </w:r>
      <w:r w:rsidRPr="000A3EDF">
        <w:rPr>
          <w:rFonts w:ascii="Arial" w:eastAsia="Times New Roman" w:hAnsi="Arial" w:cs="Arial"/>
          <w:lang w:val="pt-PT"/>
        </w:rPr>
        <w:t>.</w:t>
      </w:r>
    </w:p>
    <w:p w:rsidR="001B0475" w:rsidRPr="000A3EDF" w:rsidRDefault="001B0475" w:rsidP="000A3EDF">
      <w:pPr>
        <w:shd w:val="clear" w:color="auto" w:fill="FFFFFF"/>
        <w:spacing w:after="0" w:line="240" w:lineRule="auto"/>
        <w:ind w:left="567" w:hanging="567"/>
        <w:jc w:val="both"/>
        <w:textAlignment w:val="baseline"/>
        <w:outlineLvl w:val="0"/>
        <w:rPr>
          <w:rFonts w:ascii="Arial" w:eastAsia="Times New Roman" w:hAnsi="Arial" w:cs="Arial"/>
          <w:kern w:val="36"/>
        </w:rPr>
      </w:pPr>
      <w:proofErr w:type="gramStart"/>
      <w:r w:rsidRPr="000A3EDF">
        <w:rPr>
          <w:rFonts w:ascii="Arial" w:eastAsia="Times New Roman" w:hAnsi="Arial" w:cs="Arial"/>
        </w:rPr>
        <w:lastRenderedPageBreak/>
        <w:t xml:space="preserve">The </w:t>
      </w:r>
      <w:proofErr w:type="spellStart"/>
      <w:r w:rsidRPr="000A3EDF">
        <w:rPr>
          <w:rFonts w:ascii="Arial" w:eastAsia="Times New Roman" w:hAnsi="Arial" w:cs="Arial"/>
        </w:rPr>
        <w:t>Organisation</w:t>
      </w:r>
      <w:proofErr w:type="spellEnd"/>
      <w:r w:rsidRPr="000A3EDF">
        <w:rPr>
          <w:rFonts w:ascii="Arial" w:eastAsia="Times New Roman" w:hAnsi="Arial" w:cs="Arial"/>
        </w:rPr>
        <w:t xml:space="preserve"> for Economi</w:t>
      </w:r>
      <w:r w:rsidR="00102529" w:rsidRPr="000A3EDF">
        <w:rPr>
          <w:rFonts w:ascii="Arial" w:eastAsia="Times New Roman" w:hAnsi="Arial" w:cs="Arial"/>
        </w:rPr>
        <w:t>c Co-operation and Development, 2014</w:t>
      </w:r>
      <w:r w:rsidRPr="000A3EDF">
        <w:rPr>
          <w:rFonts w:ascii="Arial" w:eastAsia="Times New Roman" w:hAnsi="Arial" w:cs="Arial"/>
        </w:rPr>
        <w:t>.</w:t>
      </w:r>
      <w:proofErr w:type="gramEnd"/>
      <w:r w:rsidRPr="000A3EDF">
        <w:rPr>
          <w:rFonts w:ascii="Arial" w:eastAsia="Times New Roman" w:hAnsi="Arial" w:cs="Arial"/>
        </w:rPr>
        <w:t xml:space="preserve"> </w:t>
      </w:r>
      <w:r w:rsidRPr="000A3EDF">
        <w:rPr>
          <w:rFonts w:ascii="Arial" w:eastAsia="Times New Roman" w:hAnsi="Arial" w:cs="Arial"/>
          <w:i/>
          <w:iCs/>
        </w:rPr>
        <w:t xml:space="preserve">Achieving faster growth in Poland through more efficient </w:t>
      </w:r>
      <w:proofErr w:type="spellStart"/>
      <w:r w:rsidRPr="000A3EDF">
        <w:rPr>
          <w:rFonts w:ascii="Arial" w:eastAsia="Times New Roman" w:hAnsi="Arial" w:cs="Arial"/>
          <w:i/>
          <w:iCs/>
        </w:rPr>
        <w:t>labour</w:t>
      </w:r>
      <w:proofErr w:type="spellEnd"/>
      <w:r w:rsidRPr="000A3EDF">
        <w:rPr>
          <w:rFonts w:ascii="Arial" w:eastAsia="Times New Roman" w:hAnsi="Arial" w:cs="Arial"/>
          <w:i/>
          <w:iCs/>
        </w:rPr>
        <w:t xml:space="preserve"> and product markets</w:t>
      </w:r>
      <w:r w:rsidR="002746F9" w:rsidRPr="000A3EDF">
        <w:rPr>
          <w:rFonts w:ascii="Arial" w:eastAsia="Times New Roman" w:hAnsi="Arial" w:cs="Arial"/>
        </w:rPr>
        <w:t xml:space="preserve"> [online] Available at</w:t>
      </w:r>
      <w:r w:rsidRPr="000A3EDF">
        <w:rPr>
          <w:rFonts w:ascii="Arial" w:eastAsia="Times New Roman" w:hAnsi="Arial" w:cs="Arial"/>
        </w:rPr>
        <w:t xml:space="preserve">: </w:t>
      </w:r>
      <w:r w:rsidR="002746F9" w:rsidRPr="000A3EDF">
        <w:rPr>
          <w:rFonts w:ascii="Arial" w:eastAsia="Times New Roman" w:hAnsi="Arial" w:cs="Arial"/>
        </w:rPr>
        <w:t>&lt;</w:t>
      </w:r>
      <w:r w:rsidRPr="000A3EDF">
        <w:rPr>
          <w:rFonts w:ascii="Arial" w:eastAsia="Times New Roman" w:hAnsi="Arial" w:cs="Arial"/>
          <w:kern w:val="36"/>
        </w:rPr>
        <w:t>http://www.oecd.org/about/secretary-general/achieving-faster-growth-in-poland-through-more-efficient-l</w:t>
      </w:r>
      <w:r w:rsidR="002746F9" w:rsidRPr="000A3EDF">
        <w:rPr>
          <w:rFonts w:ascii="Arial" w:eastAsia="Times New Roman" w:hAnsi="Arial" w:cs="Arial"/>
          <w:kern w:val="36"/>
        </w:rPr>
        <w:t>abour-and-product-markets.htm&gt; [</w:t>
      </w:r>
      <w:r w:rsidR="000A3EDF" w:rsidRPr="000A3EDF">
        <w:rPr>
          <w:rFonts w:ascii="Arial" w:eastAsia="Times New Roman" w:hAnsi="Arial" w:cs="Arial"/>
          <w:kern w:val="36"/>
        </w:rPr>
        <w:t>Accessed</w:t>
      </w:r>
      <w:r w:rsidRPr="000A3EDF">
        <w:rPr>
          <w:rFonts w:ascii="Arial" w:eastAsia="Times New Roman" w:hAnsi="Arial" w:cs="Arial"/>
          <w:kern w:val="36"/>
        </w:rPr>
        <w:t xml:space="preserve"> </w:t>
      </w:r>
      <w:r w:rsidR="002746F9" w:rsidRPr="000A3EDF">
        <w:rPr>
          <w:rFonts w:ascii="Arial" w:eastAsia="Times New Roman" w:hAnsi="Arial" w:cs="Arial"/>
          <w:kern w:val="36"/>
        </w:rPr>
        <w:t>26 July</w:t>
      </w:r>
      <w:r w:rsidRPr="000A3EDF">
        <w:rPr>
          <w:rFonts w:ascii="Arial" w:eastAsia="Times New Roman" w:hAnsi="Arial" w:cs="Arial"/>
          <w:kern w:val="36"/>
        </w:rPr>
        <w:t xml:space="preserve"> 2014]</w:t>
      </w:r>
      <w:r w:rsidR="00D64C69" w:rsidRPr="000A3EDF">
        <w:rPr>
          <w:rFonts w:ascii="Arial" w:eastAsia="Times New Roman" w:hAnsi="Arial" w:cs="Arial"/>
          <w:kern w:val="36"/>
        </w:rPr>
        <w:t>.</w:t>
      </w:r>
    </w:p>
    <w:p w:rsidR="001B0475" w:rsidRPr="000A3EDF" w:rsidRDefault="001B0475" w:rsidP="000A3EDF">
      <w:pPr>
        <w:spacing w:after="0" w:line="240" w:lineRule="auto"/>
        <w:ind w:left="567" w:hanging="567"/>
        <w:jc w:val="both"/>
        <w:rPr>
          <w:rFonts w:ascii="Arial" w:eastAsia="Times New Roman" w:hAnsi="Arial" w:cs="Arial"/>
        </w:rPr>
      </w:pPr>
      <w:proofErr w:type="gramStart"/>
      <w:r w:rsidRPr="000A3EDF">
        <w:rPr>
          <w:rFonts w:ascii="Arial" w:eastAsia="Times New Roman" w:hAnsi="Arial" w:cs="Arial"/>
        </w:rPr>
        <w:t xml:space="preserve">The </w:t>
      </w:r>
      <w:proofErr w:type="spellStart"/>
      <w:r w:rsidRPr="000A3EDF">
        <w:rPr>
          <w:rFonts w:ascii="Arial" w:eastAsia="Times New Roman" w:hAnsi="Arial" w:cs="Arial"/>
        </w:rPr>
        <w:t>Organisation</w:t>
      </w:r>
      <w:proofErr w:type="spellEnd"/>
      <w:r w:rsidRPr="000A3EDF">
        <w:rPr>
          <w:rFonts w:ascii="Arial" w:eastAsia="Times New Roman" w:hAnsi="Arial" w:cs="Arial"/>
        </w:rPr>
        <w:t xml:space="preserve"> for Economi</w:t>
      </w:r>
      <w:r w:rsidR="00102529" w:rsidRPr="000A3EDF">
        <w:rPr>
          <w:rFonts w:ascii="Arial" w:eastAsia="Times New Roman" w:hAnsi="Arial" w:cs="Arial"/>
        </w:rPr>
        <w:t>c Co-operation and Development, 2014</w:t>
      </w:r>
      <w:r w:rsidRPr="000A3EDF">
        <w:rPr>
          <w:rFonts w:ascii="Arial" w:eastAsia="Times New Roman" w:hAnsi="Arial" w:cs="Arial"/>
        </w:rPr>
        <w:t>.</w:t>
      </w:r>
      <w:proofErr w:type="gramEnd"/>
      <w:r w:rsidRPr="000A3EDF">
        <w:rPr>
          <w:rFonts w:ascii="Arial" w:eastAsia="Times New Roman" w:hAnsi="Arial" w:cs="Arial"/>
        </w:rPr>
        <w:t xml:space="preserve"> </w:t>
      </w:r>
      <w:r w:rsidRPr="000A3EDF">
        <w:rPr>
          <w:rFonts w:ascii="Arial" w:eastAsia="Times New Roman" w:hAnsi="Arial" w:cs="Arial"/>
          <w:i/>
          <w:iCs/>
        </w:rPr>
        <w:t>“Better Policies” Series: Portugal – Deepening Structural Reform to Support Growth and Competitiveness</w:t>
      </w:r>
      <w:r w:rsidR="00102529" w:rsidRPr="000A3EDF">
        <w:rPr>
          <w:rFonts w:ascii="Arial" w:eastAsia="Times New Roman" w:hAnsi="Arial" w:cs="Arial"/>
        </w:rPr>
        <w:t xml:space="preserve"> [on</w:t>
      </w:r>
      <w:r w:rsidR="002746F9" w:rsidRPr="000A3EDF">
        <w:rPr>
          <w:rFonts w:ascii="Arial" w:eastAsia="Times New Roman" w:hAnsi="Arial" w:cs="Arial"/>
        </w:rPr>
        <w:t>line] Available at</w:t>
      </w:r>
      <w:r w:rsidRPr="000A3EDF">
        <w:rPr>
          <w:rFonts w:ascii="Arial" w:eastAsia="Times New Roman" w:hAnsi="Arial" w:cs="Arial"/>
        </w:rPr>
        <w:t xml:space="preserve">: </w:t>
      </w:r>
      <w:r w:rsidR="002746F9" w:rsidRPr="000A3EDF">
        <w:rPr>
          <w:rFonts w:ascii="Arial" w:eastAsia="Times New Roman" w:hAnsi="Arial" w:cs="Arial"/>
        </w:rPr>
        <w:t>&lt;</w:t>
      </w:r>
      <w:r w:rsidRPr="000A3EDF">
        <w:rPr>
          <w:rFonts w:ascii="Arial" w:eastAsia="Times New Roman" w:hAnsi="Arial" w:cs="Arial"/>
        </w:rPr>
        <w:t>http://www.oecd.org/portugal/Portugal-Deepening-structural-reform-to-support-growth-and-competitiveness.pdf</w:t>
      </w:r>
      <w:r w:rsidR="002746F9" w:rsidRPr="000A3EDF">
        <w:rPr>
          <w:rFonts w:ascii="Arial" w:eastAsia="Times New Roman" w:hAnsi="Arial" w:cs="Arial"/>
        </w:rPr>
        <w:t>&gt; [A</w:t>
      </w:r>
      <w:r w:rsidRPr="000A3EDF">
        <w:rPr>
          <w:rFonts w:ascii="Arial" w:eastAsia="Times New Roman" w:hAnsi="Arial" w:cs="Arial"/>
        </w:rPr>
        <w:t xml:space="preserve">ccessed </w:t>
      </w:r>
      <w:r w:rsidR="002746F9" w:rsidRPr="000A3EDF">
        <w:rPr>
          <w:rFonts w:ascii="Arial" w:eastAsia="Times New Roman" w:hAnsi="Arial" w:cs="Arial"/>
        </w:rPr>
        <w:t>10 August</w:t>
      </w:r>
      <w:r w:rsidRPr="000A3EDF">
        <w:rPr>
          <w:rFonts w:ascii="Arial" w:eastAsia="Times New Roman" w:hAnsi="Arial" w:cs="Arial"/>
        </w:rPr>
        <w:t xml:space="preserve"> 2014]</w:t>
      </w:r>
      <w:r w:rsidR="00D64C69" w:rsidRPr="000A3EDF">
        <w:rPr>
          <w:rFonts w:ascii="Arial" w:eastAsia="Times New Roman" w:hAnsi="Arial" w:cs="Arial"/>
        </w:rPr>
        <w:t>.</w:t>
      </w:r>
    </w:p>
    <w:p w:rsidR="009343BA" w:rsidRPr="000A3EDF" w:rsidRDefault="001B0475" w:rsidP="000A3EDF">
      <w:pPr>
        <w:shd w:val="clear" w:color="auto" w:fill="FFFFFF"/>
        <w:spacing w:after="0" w:line="240" w:lineRule="auto"/>
        <w:ind w:left="567" w:hanging="567"/>
        <w:jc w:val="both"/>
        <w:textAlignment w:val="baseline"/>
        <w:outlineLvl w:val="0"/>
        <w:rPr>
          <w:rFonts w:ascii="Arial" w:eastAsia="Times New Roman" w:hAnsi="Arial" w:cs="Arial"/>
          <w:kern w:val="36"/>
        </w:rPr>
      </w:pPr>
      <w:proofErr w:type="gramStart"/>
      <w:r w:rsidRPr="000A3EDF">
        <w:rPr>
          <w:rFonts w:ascii="Arial" w:eastAsia="Times New Roman" w:hAnsi="Arial" w:cs="Arial"/>
        </w:rPr>
        <w:t xml:space="preserve">The </w:t>
      </w:r>
      <w:proofErr w:type="spellStart"/>
      <w:r w:rsidRPr="000A3EDF">
        <w:rPr>
          <w:rFonts w:ascii="Arial" w:eastAsia="Times New Roman" w:hAnsi="Arial" w:cs="Arial"/>
        </w:rPr>
        <w:t>Organisation</w:t>
      </w:r>
      <w:proofErr w:type="spellEnd"/>
      <w:r w:rsidRPr="000A3EDF">
        <w:rPr>
          <w:rFonts w:ascii="Arial" w:eastAsia="Times New Roman" w:hAnsi="Arial" w:cs="Arial"/>
        </w:rPr>
        <w:t xml:space="preserve"> for Economi</w:t>
      </w:r>
      <w:r w:rsidR="00102529" w:rsidRPr="000A3EDF">
        <w:rPr>
          <w:rFonts w:ascii="Arial" w:eastAsia="Times New Roman" w:hAnsi="Arial" w:cs="Arial"/>
        </w:rPr>
        <w:t>c Co-operation and Development, 2014</w:t>
      </w:r>
      <w:r w:rsidRPr="000A3EDF">
        <w:rPr>
          <w:rFonts w:ascii="Arial" w:eastAsia="Times New Roman" w:hAnsi="Arial" w:cs="Arial"/>
        </w:rPr>
        <w:t>.</w:t>
      </w:r>
      <w:proofErr w:type="gramEnd"/>
      <w:r w:rsidRPr="000A3EDF">
        <w:rPr>
          <w:rFonts w:ascii="Arial" w:eastAsia="Times New Roman" w:hAnsi="Arial" w:cs="Arial"/>
        </w:rPr>
        <w:t xml:space="preserve"> </w:t>
      </w:r>
      <w:r w:rsidRPr="000A3EDF">
        <w:rPr>
          <w:rFonts w:ascii="Arial" w:eastAsia="Times New Roman" w:hAnsi="Arial" w:cs="Arial"/>
          <w:i/>
          <w:iCs/>
        </w:rPr>
        <w:t>Strengthening Poland’s Competitiveness – OECD Recommendations</w:t>
      </w:r>
      <w:r w:rsidR="00102529" w:rsidRPr="000A3EDF">
        <w:rPr>
          <w:rFonts w:ascii="Arial" w:eastAsia="Times New Roman" w:hAnsi="Arial" w:cs="Arial"/>
        </w:rPr>
        <w:t xml:space="preserve"> [on</w:t>
      </w:r>
      <w:r w:rsidR="002746F9" w:rsidRPr="000A3EDF">
        <w:rPr>
          <w:rFonts w:ascii="Arial" w:eastAsia="Times New Roman" w:hAnsi="Arial" w:cs="Arial"/>
        </w:rPr>
        <w:t>line] Available at</w:t>
      </w:r>
      <w:r w:rsidRPr="000A3EDF">
        <w:rPr>
          <w:rFonts w:ascii="Arial" w:eastAsia="Times New Roman" w:hAnsi="Arial" w:cs="Arial"/>
        </w:rPr>
        <w:t xml:space="preserve">: </w:t>
      </w:r>
      <w:r w:rsidR="002746F9" w:rsidRPr="000A3EDF">
        <w:rPr>
          <w:rFonts w:ascii="Arial" w:eastAsia="Times New Roman" w:hAnsi="Arial" w:cs="Arial"/>
        </w:rPr>
        <w:t>&lt;</w:t>
      </w:r>
      <w:r w:rsidRPr="000A3EDF">
        <w:rPr>
          <w:rFonts w:ascii="Arial" w:eastAsia="Times New Roman" w:hAnsi="Arial" w:cs="Arial"/>
          <w:kern w:val="36"/>
        </w:rPr>
        <w:t>http://www.oecd.org/poland/strengthening-poland-competitiv</w:t>
      </w:r>
      <w:r w:rsidR="00102529" w:rsidRPr="000A3EDF">
        <w:rPr>
          <w:rFonts w:ascii="Arial" w:eastAsia="Times New Roman" w:hAnsi="Arial" w:cs="Arial"/>
          <w:kern w:val="36"/>
        </w:rPr>
        <w:t>enessoecd-recommendations.h</w:t>
      </w:r>
      <w:r w:rsidR="002746F9" w:rsidRPr="000A3EDF">
        <w:rPr>
          <w:rFonts w:ascii="Arial" w:eastAsia="Times New Roman" w:hAnsi="Arial" w:cs="Arial"/>
          <w:kern w:val="36"/>
        </w:rPr>
        <w:t>tm&gt; [</w:t>
      </w:r>
      <w:r w:rsidR="000A3EDF" w:rsidRPr="000A3EDF">
        <w:rPr>
          <w:rFonts w:ascii="Arial" w:eastAsia="Times New Roman" w:hAnsi="Arial" w:cs="Arial"/>
          <w:kern w:val="36"/>
        </w:rPr>
        <w:t>Accessed</w:t>
      </w:r>
      <w:r w:rsidR="00102529" w:rsidRPr="000A3EDF">
        <w:rPr>
          <w:rFonts w:ascii="Arial" w:eastAsia="Times New Roman" w:hAnsi="Arial" w:cs="Arial"/>
          <w:kern w:val="36"/>
        </w:rPr>
        <w:t xml:space="preserve"> 26 July 2014</w:t>
      </w:r>
      <w:r w:rsidRPr="000A3EDF">
        <w:rPr>
          <w:rFonts w:ascii="Arial" w:eastAsia="Times New Roman" w:hAnsi="Arial" w:cs="Arial"/>
          <w:kern w:val="36"/>
        </w:rPr>
        <w:t>]</w:t>
      </w:r>
      <w:r w:rsidR="00D64C69" w:rsidRPr="000A3EDF">
        <w:rPr>
          <w:rFonts w:ascii="Arial" w:eastAsia="Times New Roman" w:hAnsi="Arial" w:cs="Arial"/>
          <w:kern w:val="36"/>
        </w:rPr>
        <w:t>.</w:t>
      </w:r>
    </w:p>
    <w:p w:rsidR="003165AA" w:rsidRDefault="009343BA" w:rsidP="000A3EDF">
      <w:pPr>
        <w:shd w:val="clear" w:color="auto" w:fill="FFFFFF"/>
        <w:spacing w:after="0" w:line="240" w:lineRule="auto"/>
        <w:ind w:left="567" w:hanging="567"/>
        <w:jc w:val="both"/>
        <w:textAlignment w:val="baseline"/>
        <w:outlineLvl w:val="0"/>
        <w:rPr>
          <w:rFonts w:ascii="Arial" w:eastAsia="Times New Roman" w:hAnsi="Arial" w:cs="Arial"/>
          <w:kern w:val="36"/>
        </w:rPr>
      </w:pPr>
      <w:r w:rsidRPr="000A3EDF">
        <w:rPr>
          <w:rFonts w:ascii="Arial" w:eastAsia="Times New Roman" w:hAnsi="Arial" w:cs="Arial"/>
          <w:kern w:val="36"/>
        </w:rPr>
        <w:t xml:space="preserve">World Economic Forum (2013) </w:t>
      </w:r>
      <w:r w:rsidRPr="000A3EDF">
        <w:rPr>
          <w:rFonts w:ascii="Arial" w:eastAsia="Times New Roman" w:hAnsi="Arial" w:cs="Arial"/>
          <w:i/>
          <w:kern w:val="36"/>
        </w:rPr>
        <w:t>The Global Competitiveness Report 2013-2014</w:t>
      </w:r>
      <w:r w:rsidR="002746F9" w:rsidRPr="000A3EDF">
        <w:rPr>
          <w:rFonts w:ascii="Arial" w:eastAsia="Times New Roman" w:hAnsi="Arial" w:cs="Arial"/>
          <w:kern w:val="36"/>
        </w:rPr>
        <w:t xml:space="preserve"> [online] Available at</w:t>
      </w:r>
      <w:r w:rsidRPr="000A3EDF">
        <w:rPr>
          <w:rFonts w:ascii="Arial" w:eastAsia="Times New Roman" w:hAnsi="Arial" w:cs="Arial"/>
          <w:kern w:val="36"/>
        </w:rPr>
        <w:t xml:space="preserve">: </w:t>
      </w:r>
      <w:r w:rsidR="002746F9" w:rsidRPr="000A3EDF">
        <w:rPr>
          <w:rFonts w:ascii="Arial" w:eastAsia="Times New Roman" w:hAnsi="Arial" w:cs="Arial"/>
          <w:kern w:val="36"/>
        </w:rPr>
        <w:t>&lt;</w:t>
      </w:r>
      <w:r w:rsidRPr="000A3EDF">
        <w:rPr>
          <w:rFonts w:ascii="Arial" w:eastAsia="Times New Roman" w:hAnsi="Arial" w:cs="Arial"/>
          <w:kern w:val="36"/>
        </w:rPr>
        <w:t>http://www3.weforum.org/docs/WEF_GlobalComp</w:t>
      </w:r>
      <w:r w:rsidR="002746F9" w:rsidRPr="000A3EDF">
        <w:rPr>
          <w:rFonts w:ascii="Arial" w:eastAsia="Times New Roman" w:hAnsi="Arial" w:cs="Arial"/>
          <w:kern w:val="36"/>
        </w:rPr>
        <w:t>etitivenessReport_2013-14.pdf&gt; [Accessed 14 August 2009</w:t>
      </w:r>
      <w:r w:rsidRPr="000A3EDF">
        <w:rPr>
          <w:rFonts w:ascii="Arial" w:eastAsia="Times New Roman" w:hAnsi="Arial" w:cs="Arial"/>
          <w:kern w:val="36"/>
        </w:rPr>
        <w:t>]</w:t>
      </w:r>
      <w:r w:rsidR="00D64C69" w:rsidRPr="000A3EDF">
        <w:rPr>
          <w:rFonts w:ascii="Arial" w:eastAsia="Times New Roman" w:hAnsi="Arial" w:cs="Arial"/>
          <w:kern w:val="36"/>
        </w:rPr>
        <w:t>.</w:t>
      </w:r>
      <w:r w:rsidR="003165AA">
        <w:rPr>
          <w:rFonts w:ascii="Arial" w:eastAsia="Times New Roman" w:hAnsi="Arial" w:cs="Arial"/>
          <w:kern w:val="36"/>
        </w:rPr>
        <w:br w:type="page"/>
      </w:r>
    </w:p>
    <w:p w:rsidR="003165AA" w:rsidRPr="003165AA" w:rsidRDefault="003165AA" w:rsidP="003165AA">
      <w:pPr>
        <w:shd w:val="clear" w:color="auto" w:fill="FFFFFF"/>
        <w:spacing w:after="0" w:line="360" w:lineRule="auto"/>
        <w:jc w:val="both"/>
        <w:textAlignment w:val="baseline"/>
        <w:outlineLvl w:val="0"/>
        <w:rPr>
          <w:rFonts w:ascii="Arial" w:eastAsia="Times New Roman" w:hAnsi="Arial" w:cs="Arial"/>
          <w:b/>
          <w:bCs/>
          <w:kern w:val="36"/>
        </w:rPr>
      </w:pPr>
      <w:r>
        <w:rPr>
          <w:rFonts w:ascii="Arial" w:eastAsia="Times New Roman" w:hAnsi="Arial" w:cs="Arial"/>
          <w:b/>
          <w:bCs/>
          <w:kern w:val="36"/>
        </w:rPr>
        <w:lastRenderedPageBreak/>
        <w:t>IX. APPENDIX</w:t>
      </w:r>
    </w:p>
    <w:p w:rsidR="003165AA" w:rsidRPr="003165AA" w:rsidRDefault="00920E10" w:rsidP="003165AA">
      <w:pPr>
        <w:spacing w:after="0"/>
        <w:ind w:firstLine="567"/>
        <w:jc w:val="center"/>
        <w:rPr>
          <w:rFonts w:ascii="Arial" w:hAnsi="Arial" w:cs="Arial"/>
        </w:rPr>
      </w:pPr>
      <w:proofErr w:type="gramStart"/>
      <w:r>
        <w:rPr>
          <w:rFonts w:ascii="Arial" w:hAnsi="Arial" w:cs="Arial"/>
          <w:b/>
        </w:rPr>
        <w:t>Table 7.</w:t>
      </w:r>
      <w:proofErr w:type="gramEnd"/>
      <w:r w:rsidR="00921229" w:rsidRPr="00763118">
        <w:rPr>
          <w:rFonts w:ascii="Arial" w:hAnsi="Arial" w:cs="Arial"/>
          <w:b/>
        </w:rPr>
        <w:t xml:space="preserve"> </w:t>
      </w:r>
      <w:r w:rsidR="00F941C8" w:rsidRPr="00763118">
        <w:rPr>
          <w:rFonts w:ascii="Arial" w:hAnsi="Arial" w:cs="Arial"/>
        </w:rPr>
        <w:t>List of Groups</w:t>
      </w:r>
    </w:p>
    <w:tbl>
      <w:tblPr>
        <w:tblW w:w="9210" w:type="dxa"/>
        <w:tblCellMar>
          <w:left w:w="70" w:type="dxa"/>
          <w:right w:w="70" w:type="dxa"/>
        </w:tblCellMar>
        <w:tblLook w:val="04A0"/>
      </w:tblPr>
      <w:tblGrid>
        <w:gridCol w:w="1139"/>
        <w:gridCol w:w="6280"/>
        <w:gridCol w:w="1791"/>
      </w:tblGrid>
      <w:tr w:rsidR="004D5AAE" w:rsidRPr="00763118" w:rsidTr="00267DF6">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Groups</w:t>
            </w:r>
            <w:proofErr w:type="spellEnd"/>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Designation</w:t>
            </w:r>
            <w:proofErr w:type="spellEnd"/>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Products</w:t>
            </w:r>
            <w:proofErr w:type="spellEnd"/>
            <w:r w:rsidRPr="00763118">
              <w:rPr>
                <w:rFonts w:ascii="Arial" w:eastAsia="Times New Roman" w:hAnsi="Arial" w:cs="Arial"/>
                <w:b/>
                <w:bCs/>
                <w:color w:val="000000"/>
                <w:lang w:val="pt-PT"/>
              </w:rPr>
              <w:t xml:space="preserve"> </w:t>
            </w:r>
            <w:proofErr w:type="spellStart"/>
            <w:r w:rsidRPr="00763118">
              <w:rPr>
                <w:rFonts w:ascii="Arial" w:eastAsia="Times New Roman" w:hAnsi="Arial" w:cs="Arial"/>
                <w:b/>
                <w:bCs/>
                <w:color w:val="000000"/>
                <w:lang w:val="pt-PT"/>
              </w:rPr>
              <w:t>code</w:t>
            </w:r>
            <w:proofErr w:type="spellEnd"/>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gramStart"/>
            <w:r w:rsidRPr="00763118">
              <w:rPr>
                <w:rFonts w:ascii="Arial" w:eastAsia="Times New Roman" w:hAnsi="Arial" w:cs="Arial"/>
                <w:color w:val="000000"/>
                <w:lang w:val="pt-PT"/>
              </w:rPr>
              <w:t>Live</w:t>
            </w:r>
            <w:proofErr w:type="gram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Animals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0101-0308</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r w:rsidRPr="00763118">
              <w:rPr>
                <w:rFonts w:ascii="Arial" w:eastAsia="Times New Roman" w:hAnsi="Arial" w:cs="Arial"/>
                <w:color w:val="000000"/>
                <w:lang w:val="pt-PT"/>
              </w:rPr>
              <w:t xml:space="preserve">Animal </w:t>
            </w:r>
            <w:proofErr w:type="spellStart"/>
            <w:r w:rsidRPr="00763118">
              <w:rPr>
                <w:rFonts w:ascii="Arial" w:eastAsia="Times New Roman" w:hAnsi="Arial" w:cs="Arial"/>
                <w:color w:val="000000"/>
                <w:lang w:val="pt-PT"/>
              </w:rPr>
              <w:t>Products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Derivates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0401-0511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3</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Vegetals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Cereals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Fruits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0601-1404</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4</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Fats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Saturated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1501-1603</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5</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Prepared, preserved or extracts of products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1604-2106</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6</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Bottled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or</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Canned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2201-2501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7</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r w:rsidRPr="00763118">
              <w:rPr>
                <w:rFonts w:ascii="Arial" w:eastAsia="Times New Roman" w:hAnsi="Arial" w:cs="Arial"/>
                <w:color w:val="000000"/>
                <w:lang w:val="pt-PT"/>
              </w:rPr>
              <w:t xml:space="preserve">Ores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Metal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2502-2621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8</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r w:rsidRPr="00763118">
              <w:rPr>
                <w:rFonts w:ascii="Arial" w:eastAsia="Times New Roman" w:hAnsi="Arial" w:cs="Arial"/>
                <w:color w:val="000000"/>
                <w:lang w:val="pt-PT"/>
              </w:rPr>
              <w:t xml:space="preserve">Mineral </w:t>
            </w:r>
            <w:proofErr w:type="spellStart"/>
            <w:r w:rsidRPr="00763118">
              <w:rPr>
                <w:rFonts w:ascii="Arial" w:eastAsia="Times New Roman" w:hAnsi="Arial" w:cs="Arial"/>
                <w:color w:val="000000"/>
                <w:lang w:val="pt-PT"/>
              </w:rPr>
              <w:t>Fuels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2701-2715</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9</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Chemical</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Organic</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compounds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2716-2942</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10</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r w:rsidRPr="00763118">
              <w:rPr>
                <w:rFonts w:ascii="Arial" w:eastAsia="Times New Roman" w:hAnsi="Arial" w:cs="Arial"/>
                <w:color w:val="000000"/>
                <w:lang w:val="pt-PT"/>
              </w:rPr>
              <w:t xml:space="preserve">Medical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pharmaceutical</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3001-3202</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11</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Paints, varnishes and other Beauty and Make-Up preparations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3203-3403</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12</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Waxes, albumin and other substances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3404-3507</w:t>
            </w:r>
          </w:p>
        </w:tc>
      </w:tr>
      <w:tr w:rsidR="004D5AAE" w:rsidRPr="00763118" w:rsidTr="00267DF6">
        <w:trPr>
          <w:trHeight w:val="48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13</w:t>
            </w:r>
          </w:p>
        </w:tc>
        <w:tc>
          <w:tcPr>
            <w:tcW w:w="6280" w:type="dxa"/>
            <w:tcBorders>
              <w:top w:val="nil"/>
              <w:left w:val="nil"/>
              <w:bottom w:val="single" w:sz="4" w:space="0" w:color="auto"/>
              <w:right w:val="single" w:sz="4" w:space="0" w:color="auto"/>
            </w:tcBorders>
            <w:shd w:val="clear" w:color="auto" w:fill="auto"/>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 xml:space="preserve">Powders, Fireworks, Photographic plates and film, Artificial graphite and Residual products of the chemical or </w:t>
            </w:r>
            <w:proofErr w:type="spellStart"/>
            <w:r w:rsidRPr="00763118">
              <w:rPr>
                <w:rFonts w:ascii="Arial" w:eastAsia="Times New Roman" w:hAnsi="Arial" w:cs="Arial"/>
                <w:color w:val="000000"/>
              </w:rPr>
              <w:t>alled</w:t>
            </w:r>
            <w:proofErr w:type="spellEnd"/>
            <w:r w:rsidRPr="00763118">
              <w:rPr>
                <w:rFonts w:ascii="Arial" w:eastAsia="Times New Roman" w:hAnsi="Arial" w:cs="Arial"/>
                <w:color w:val="000000"/>
              </w:rPr>
              <w:t xml:space="preserve"> industries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3601-3826</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14</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Natural and modified polymers, Rubber and rube products and Plates and Plastic products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3901-4017</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15</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Raw, leather, Artificial fur and articles thereof</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4101-4304</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16</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Wood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its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4401-4706</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17</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Cork Products, Paper and others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4707-4911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18</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Silk, wool, cotton, fabrics, synthetic fibers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5001-5609</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19</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 xml:space="preserve">Rugs, tulle, padded, </w:t>
            </w:r>
            <w:proofErr w:type="spellStart"/>
            <w:r w:rsidRPr="00763118">
              <w:rPr>
                <w:rFonts w:ascii="Arial" w:eastAsia="Times New Roman" w:hAnsi="Arial" w:cs="Arial"/>
                <w:color w:val="000000"/>
              </w:rPr>
              <w:t>textitle</w:t>
            </w:r>
            <w:proofErr w:type="spellEnd"/>
            <w:r w:rsidRPr="00763118">
              <w:rPr>
                <w:rFonts w:ascii="Arial" w:eastAsia="Times New Roman" w:hAnsi="Arial" w:cs="Arial"/>
                <w:color w:val="000000"/>
              </w:rPr>
              <w:t xml:space="preserve"> coatings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5701-5911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20</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Clothing</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6001-6310</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21</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Footwear</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other</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acessories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6401-6704</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22</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F6FC0">
            <w:pPr>
              <w:spacing w:after="0" w:line="240" w:lineRule="auto"/>
              <w:rPr>
                <w:rFonts w:ascii="Arial" w:eastAsia="Times New Roman" w:hAnsi="Arial" w:cs="Arial"/>
              </w:rPr>
            </w:pPr>
            <w:r w:rsidRPr="00763118">
              <w:rPr>
                <w:rFonts w:ascii="Arial" w:eastAsia="Times New Roman" w:hAnsi="Arial" w:cs="Arial"/>
              </w:rPr>
              <w:t>Slate, natural stone, brick, porcelain, glass and its products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6801-7020</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23</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Precisous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Metals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Stones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7101-7118</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24</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Iron products, steel and copper</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7201-7419</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25</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Articles of nickel, aluminum, zinc, tin and others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7501-8113</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26</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Tools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brass</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instuments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8201-8311</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27</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Machinery</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and</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other</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equipment</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8401-8548</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28</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Automobiles and other transport, and their accessories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8601-8908</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29</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rPr>
            </w:pPr>
            <w:r w:rsidRPr="00763118">
              <w:rPr>
                <w:rFonts w:ascii="Arial" w:eastAsia="Times New Roman" w:hAnsi="Arial" w:cs="Arial"/>
                <w:color w:val="000000"/>
              </w:rPr>
              <w:t xml:space="preserve">Optical </w:t>
            </w:r>
            <w:proofErr w:type="spellStart"/>
            <w:r w:rsidRPr="00763118">
              <w:rPr>
                <w:rFonts w:ascii="Arial" w:eastAsia="Times New Roman" w:hAnsi="Arial" w:cs="Arial"/>
                <w:color w:val="000000"/>
              </w:rPr>
              <w:t>fibre</w:t>
            </w:r>
            <w:proofErr w:type="spellEnd"/>
            <w:r w:rsidRPr="00763118">
              <w:rPr>
                <w:rFonts w:ascii="Arial" w:eastAsia="Times New Roman" w:hAnsi="Arial" w:cs="Arial"/>
                <w:color w:val="000000"/>
              </w:rPr>
              <w:t>, Electro-medical apparatus, laboratory equipment and other instruments</w:t>
            </w:r>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9001-9305</w:t>
            </w:r>
          </w:p>
        </w:tc>
      </w:tr>
      <w:tr w:rsidR="004D5AAE" w:rsidRPr="00763118" w:rsidTr="00267DF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D5AAE" w:rsidRPr="00763118" w:rsidRDefault="004D5AAE" w:rsidP="001A1066">
            <w:pPr>
              <w:spacing w:after="0" w:line="240" w:lineRule="auto"/>
              <w:jc w:val="center"/>
              <w:rPr>
                <w:rFonts w:ascii="Arial" w:eastAsia="Times New Roman" w:hAnsi="Arial" w:cs="Arial"/>
                <w:b/>
                <w:color w:val="000000"/>
                <w:lang w:val="pt-PT"/>
              </w:rPr>
            </w:pPr>
            <w:proofErr w:type="spellStart"/>
            <w:r w:rsidRPr="00763118">
              <w:rPr>
                <w:rFonts w:ascii="Arial" w:eastAsia="Times New Roman" w:hAnsi="Arial" w:cs="Arial"/>
                <w:b/>
                <w:color w:val="000000"/>
                <w:lang w:val="pt-PT"/>
              </w:rPr>
              <w:t>Group</w:t>
            </w:r>
            <w:proofErr w:type="spellEnd"/>
            <w:r w:rsidRPr="00763118">
              <w:rPr>
                <w:rFonts w:ascii="Arial" w:eastAsia="Times New Roman" w:hAnsi="Arial" w:cs="Arial"/>
                <w:b/>
                <w:color w:val="000000"/>
                <w:lang w:val="pt-PT"/>
              </w:rPr>
              <w:t xml:space="preserve"> 30</w:t>
            </w:r>
          </w:p>
        </w:tc>
        <w:tc>
          <w:tcPr>
            <w:tcW w:w="6280"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rPr>
                <w:rFonts w:ascii="Arial" w:eastAsia="Times New Roman" w:hAnsi="Arial" w:cs="Arial"/>
                <w:color w:val="000000"/>
                <w:lang w:val="pt-PT"/>
              </w:rPr>
            </w:pPr>
            <w:proofErr w:type="spellStart"/>
            <w:r w:rsidRPr="00763118">
              <w:rPr>
                <w:rFonts w:ascii="Arial" w:eastAsia="Times New Roman" w:hAnsi="Arial" w:cs="Arial"/>
                <w:color w:val="000000"/>
                <w:lang w:val="pt-PT"/>
              </w:rPr>
              <w:t>Other</w:t>
            </w:r>
            <w:proofErr w:type="spellEnd"/>
            <w:r w:rsidRPr="00763118">
              <w:rPr>
                <w:rFonts w:ascii="Arial" w:eastAsia="Times New Roman" w:hAnsi="Arial" w:cs="Arial"/>
                <w:color w:val="000000"/>
                <w:lang w:val="pt-PT"/>
              </w:rPr>
              <w:t xml:space="preserve"> </w:t>
            </w:r>
            <w:proofErr w:type="spellStart"/>
            <w:r w:rsidRPr="00763118">
              <w:rPr>
                <w:rFonts w:ascii="Arial" w:eastAsia="Times New Roman" w:hAnsi="Arial" w:cs="Arial"/>
                <w:color w:val="000000"/>
                <w:lang w:val="pt-PT"/>
              </w:rPr>
              <w:t>products</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rsidR="004D5AAE" w:rsidRPr="00763118" w:rsidRDefault="004D5AAE" w:rsidP="004D5AAE">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9306-9999</w:t>
            </w:r>
          </w:p>
        </w:tc>
      </w:tr>
    </w:tbl>
    <w:p w:rsidR="004D5AAE" w:rsidRPr="00763118" w:rsidRDefault="004D5AAE" w:rsidP="00AA35B4">
      <w:pPr>
        <w:spacing w:after="0"/>
        <w:ind w:firstLine="567"/>
        <w:jc w:val="center"/>
        <w:rPr>
          <w:rFonts w:ascii="Arial" w:hAnsi="Arial" w:cs="Arial"/>
        </w:rPr>
      </w:pPr>
    </w:p>
    <w:p w:rsidR="00DA0D16" w:rsidRPr="00763118" w:rsidRDefault="00DA0D16">
      <w:pPr>
        <w:spacing w:after="160" w:line="259" w:lineRule="auto"/>
        <w:rPr>
          <w:rFonts w:ascii="Arial" w:hAnsi="Arial" w:cs="Arial"/>
        </w:rPr>
      </w:pPr>
    </w:p>
    <w:p w:rsidR="00DA0D16" w:rsidRPr="00763118" w:rsidRDefault="00DA0D16">
      <w:pPr>
        <w:spacing w:after="160" w:line="259" w:lineRule="auto"/>
        <w:rPr>
          <w:rFonts w:ascii="Arial" w:hAnsi="Arial" w:cs="Arial"/>
        </w:rPr>
      </w:pPr>
    </w:p>
    <w:p w:rsidR="00DA0D16" w:rsidRPr="00763118" w:rsidRDefault="00DA0D16">
      <w:pPr>
        <w:spacing w:after="160" w:line="259" w:lineRule="auto"/>
        <w:rPr>
          <w:rFonts w:ascii="Arial" w:hAnsi="Arial" w:cs="Arial"/>
        </w:rPr>
      </w:pPr>
    </w:p>
    <w:p w:rsidR="00DA0D16" w:rsidRPr="00763118" w:rsidRDefault="00DA0D16">
      <w:pPr>
        <w:spacing w:after="160" w:line="259" w:lineRule="auto"/>
        <w:rPr>
          <w:rFonts w:ascii="Arial" w:hAnsi="Arial" w:cs="Arial"/>
        </w:rPr>
      </w:pPr>
    </w:p>
    <w:p w:rsidR="00DA0D16" w:rsidRPr="00763118" w:rsidRDefault="00DA0D16">
      <w:pPr>
        <w:spacing w:after="160" w:line="259" w:lineRule="auto"/>
        <w:rPr>
          <w:rFonts w:ascii="Arial" w:hAnsi="Arial" w:cs="Arial"/>
        </w:rPr>
      </w:pPr>
    </w:p>
    <w:p w:rsidR="00DA0D16" w:rsidRPr="00763118" w:rsidRDefault="00DA0D16">
      <w:pPr>
        <w:spacing w:after="160" w:line="259" w:lineRule="auto"/>
        <w:rPr>
          <w:rFonts w:ascii="Arial" w:hAnsi="Arial" w:cs="Arial"/>
        </w:rPr>
      </w:pPr>
    </w:p>
    <w:p w:rsidR="00A92927" w:rsidRPr="004705DB" w:rsidRDefault="00920E10" w:rsidP="004705DB">
      <w:pPr>
        <w:spacing w:after="0"/>
        <w:jc w:val="center"/>
        <w:rPr>
          <w:rFonts w:ascii="Arial" w:hAnsi="Arial" w:cs="Arial"/>
          <w:b/>
        </w:rPr>
      </w:pPr>
      <w:proofErr w:type="gramStart"/>
      <w:r>
        <w:rPr>
          <w:rFonts w:ascii="Arial" w:hAnsi="Arial" w:cs="Arial"/>
          <w:b/>
        </w:rPr>
        <w:lastRenderedPageBreak/>
        <w:t>Table 8</w:t>
      </w:r>
      <w:r w:rsidR="00A92927" w:rsidRPr="00763118">
        <w:rPr>
          <w:rFonts w:ascii="Arial" w:hAnsi="Arial" w:cs="Arial"/>
          <w:b/>
        </w:rPr>
        <w:t>.</w:t>
      </w:r>
      <w:proofErr w:type="gramEnd"/>
      <w:r w:rsidR="00A92927" w:rsidRPr="00763118">
        <w:rPr>
          <w:rFonts w:ascii="Arial" w:hAnsi="Arial" w:cs="Arial"/>
          <w:b/>
        </w:rPr>
        <w:t xml:space="preserve"> </w:t>
      </w:r>
      <w:r w:rsidR="00A92927" w:rsidRPr="00763118">
        <w:rPr>
          <w:rFonts w:ascii="Arial" w:hAnsi="Arial" w:cs="Arial"/>
        </w:rPr>
        <w:t xml:space="preserve">Portugal and Poland’s Market Share in the European Union </w:t>
      </w:r>
    </w:p>
    <w:tbl>
      <w:tblPr>
        <w:tblW w:w="8880" w:type="dxa"/>
        <w:tblInd w:w="70" w:type="dxa"/>
        <w:tblCellMar>
          <w:left w:w="70" w:type="dxa"/>
          <w:right w:w="70" w:type="dxa"/>
        </w:tblCellMar>
        <w:tblLook w:val="04A0"/>
      </w:tblPr>
      <w:tblGrid>
        <w:gridCol w:w="630"/>
        <w:gridCol w:w="2064"/>
        <w:gridCol w:w="2081"/>
        <w:gridCol w:w="2029"/>
        <w:gridCol w:w="2076"/>
      </w:tblGrid>
      <w:tr w:rsidR="009819A7" w:rsidRPr="009819A7" w:rsidTr="009819A7">
        <w:trPr>
          <w:trHeight w:val="315"/>
        </w:trPr>
        <w:tc>
          <w:tcPr>
            <w:tcW w:w="630" w:type="dxa"/>
            <w:tcBorders>
              <w:top w:val="nil"/>
              <w:left w:val="nil"/>
              <w:bottom w:val="nil"/>
              <w:right w:val="nil"/>
            </w:tcBorders>
            <w:shd w:val="clear" w:color="auto" w:fill="auto"/>
            <w:noWrap/>
            <w:vAlign w:val="center"/>
            <w:hideMark/>
          </w:tcPr>
          <w:p w:rsidR="009819A7" w:rsidRPr="00EE1BC8" w:rsidRDefault="009819A7" w:rsidP="009819A7">
            <w:pPr>
              <w:spacing w:after="0" w:line="240" w:lineRule="auto"/>
              <w:rPr>
                <w:rFonts w:ascii="Times New Roman" w:eastAsia="Times New Roman" w:hAnsi="Times New Roman" w:cs="Times New Roman"/>
                <w:sz w:val="24"/>
                <w:szCs w:val="24"/>
              </w:rPr>
            </w:pPr>
          </w:p>
        </w:tc>
        <w:tc>
          <w:tcPr>
            <w:tcW w:w="414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Portugal</w:t>
            </w:r>
          </w:p>
        </w:tc>
        <w:tc>
          <w:tcPr>
            <w:tcW w:w="4105" w:type="dxa"/>
            <w:gridSpan w:val="2"/>
            <w:tcBorders>
              <w:top w:val="single" w:sz="8" w:space="0" w:color="auto"/>
              <w:left w:val="nil"/>
              <w:bottom w:val="single" w:sz="8" w:space="0" w:color="auto"/>
              <w:right w:val="single" w:sz="8" w:space="0" w:color="auto"/>
            </w:tcBorders>
            <w:shd w:val="clear" w:color="auto" w:fill="auto"/>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proofErr w:type="spellStart"/>
            <w:r w:rsidRPr="009819A7">
              <w:rPr>
                <w:rFonts w:ascii="Arial" w:eastAsia="Times New Roman" w:hAnsi="Arial" w:cs="Arial"/>
                <w:b/>
                <w:bCs/>
                <w:color w:val="000000"/>
                <w:lang w:val="pt-PT"/>
              </w:rPr>
              <w:t>Poland</w:t>
            </w:r>
            <w:proofErr w:type="spellEnd"/>
          </w:p>
        </w:tc>
      </w:tr>
      <w:tr w:rsidR="009819A7" w:rsidRPr="009819A7" w:rsidTr="009819A7">
        <w:trPr>
          <w:trHeight w:val="315"/>
        </w:trPr>
        <w:tc>
          <w:tcPr>
            <w:tcW w:w="630" w:type="dxa"/>
            <w:tcBorders>
              <w:top w:val="nil"/>
              <w:left w:val="nil"/>
              <w:bottom w:val="nil"/>
              <w:right w:val="nil"/>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p>
        </w:tc>
        <w:tc>
          <w:tcPr>
            <w:tcW w:w="2064" w:type="dxa"/>
            <w:tcBorders>
              <w:top w:val="nil"/>
              <w:left w:val="single" w:sz="8" w:space="0" w:color="auto"/>
              <w:bottom w:val="single" w:sz="8" w:space="0" w:color="auto"/>
              <w:right w:val="single" w:sz="8" w:space="0" w:color="auto"/>
            </w:tcBorders>
            <w:shd w:val="clear" w:color="auto" w:fill="auto"/>
            <w:noWrap/>
            <w:vAlign w:val="center"/>
            <w:hideMark/>
          </w:tcPr>
          <w:p w:rsidR="009819A7" w:rsidRPr="00EE1BC8" w:rsidRDefault="009819A7" w:rsidP="009819A7">
            <w:pPr>
              <w:spacing w:after="0" w:line="240" w:lineRule="auto"/>
              <w:jc w:val="center"/>
              <w:rPr>
                <w:rFonts w:ascii="Arial" w:eastAsia="Times New Roman" w:hAnsi="Arial" w:cs="Arial"/>
                <w:b/>
                <w:bCs/>
                <w:color w:val="000000"/>
              </w:rPr>
            </w:pPr>
            <w:r w:rsidRPr="009819A7">
              <w:rPr>
                <w:rFonts w:ascii="Arial" w:eastAsia="Times New Roman" w:hAnsi="Arial" w:cs="Arial"/>
                <w:b/>
                <w:bCs/>
                <w:color w:val="000000"/>
              </w:rPr>
              <w:t>Total Exp. to the EU</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EE1BC8" w:rsidRDefault="009819A7" w:rsidP="009819A7">
            <w:pPr>
              <w:spacing w:after="0" w:line="240" w:lineRule="auto"/>
              <w:jc w:val="center"/>
              <w:rPr>
                <w:rFonts w:ascii="Arial" w:eastAsia="Times New Roman" w:hAnsi="Arial" w:cs="Arial"/>
                <w:b/>
                <w:bCs/>
                <w:color w:val="000000"/>
              </w:rPr>
            </w:pPr>
            <w:r w:rsidRPr="00EE1BC8">
              <w:rPr>
                <w:rFonts w:ascii="Arial" w:eastAsia="Times New Roman" w:hAnsi="Arial" w:cs="Arial"/>
                <w:b/>
                <w:bCs/>
                <w:color w:val="000000"/>
              </w:rPr>
              <w:t>Market Share in the EU (%)</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EE1BC8" w:rsidRDefault="009819A7" w:rsidP="009819A7">
            <w:pPr>
              <w:spacing w:after="0" w:line="240" w:lineRule="auto"/>
              <w:jc w:val="center"/>
              <w:rPr>
                <w:rFonts w:ascii="Arial" w:eastAsia="Times New Roman" w:hAnsi="Arial" w:cs="Arial"/>
                <w:b/>
                <w:bCs/>
                <w:color w:val="000000"/>
              </w:rPr>
            </w:pPr>
            <w:r w:rsidRPr="009819A7">
              <w:rPr>
                <w:rFonts w:ascii="Arial" w:eastAsia="Times New Roman" w:hAnsi="Arial" w:cs="Arial"/>
                <w:b/>
                <w:bCs/>
                <w:color w:val="000000"/>
              </w:rPr>
              <w:t>Total Exp. to the EU</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EE1BC8" w:rsidRDefault="009819A7" w:rsidP="009819A7">
            <w:pPr>
              <w:spacing w:after="0" w:line="240" w:lineRule="auto"/>
              <w:jc w:val="center"/>
              <w:rPr>
                <w:rFonts w:ascii="Arial" w:eastAsia="Times New Roman" w:hAnsi="Arial" w:cs="Arial"/>
                <w:b/>
                <w:bCs/>
                <w:color w:val="000000"/>
              </w:rPr>
            </w:pPr>
            <w:r w:rsidRPr="00EE1BC8">
              <w:rPr>
                <w:rFonts w:ascii="Arial" w:eastAsia="Times New Roman" w:hAnsi="Arial" w:cs="Arial"/>
                <w:b/>
                <w:bCs/>
                <w:color w:val="000000"/>
              </w:rPr>
              <w:t>Market Share in the EU (%)</w:t>
            </w:r>
          </w:p>
        </w:tc>
      </w:tr>
      <w:tr w:rsidR="009819A7" w:rsidRPr="009819A7" w:rsidTr="009819A7">
        <w:trPr>
          <w:trHeight w:val="315"/>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2001</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21441140</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0,87934853</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27257018</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1,11787052</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2002</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21791302</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0,905604917</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29105090</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1,209551964</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2003</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22313658</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0,929211513</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31925301</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1,329470816</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2004</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23351572</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0,889055789</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39521568</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1,504690085</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2005</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22520560</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0,783255386</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45160509</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1,570663057</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2006</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24679723</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0,752917352</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54252843</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1,655120164</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2007</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26242698</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0,764373973</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62382353</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1,817017715</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2008</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25158650</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0,709170086</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70216656</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1,97926171</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2009</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21889111</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0,759700619</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61473442</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2,133545372</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2010</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25842231</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0,755168332</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74486752</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2,176671077</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2011</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29403390</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0,774341904</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82680735</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2,177407333</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2012</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30265966</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0,773949801</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81888365</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2,094018168</w:t>
            </w:r>
          </w:p>
        </w:tc>
      </w:tr>
      <w:tr w:rsidR="009819A7" w:rsidRPr="009819A7" w:rsidTr="009819A7">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b/>
                <w:bCs/>
                <w:color w:val="000000"/>
                <w:lang w:val="pt-PT"/>
              </w:rPr>
            </w:pPr>
            <w:r w:rsidRPr="009819A7">
              <w:rPr>
                <w:rFonts w:ascii="Arial" w:eastAsia="Times New Roman" w:hAnsi="Arial" w:cs="Arial"/>
                <w:b/>
                <w:bCs/>
                <w:color w:val="000000"/>
                <w:lang w:val="pt-PT"/>
              </w:rPr>
              <w:t>2013</w:t>
            </w:r>
          </w:p>
        </w:tc>
        <w:tc>
          <w:tcPr>
            <w:tcW w:w="2064"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31215181</w:t>
            </w:r>
          </w:p>
        </w:tc>
        <w:tc>
          <w:tcPr>
            <w:tcW w:w="2081"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0,815295543</w:t>
            </w:r>
          </w:p>
        </w:tc>
        <w:tc>
          <w:tcPr>
            <w:tcW w:w="2029"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86084584</w:t>
            </w:r>
          </w:p>
        </w:tc>
        <w:tc>
          <w:tcPr>
            <w:tcW w:w="2076" w:type="dxa"/>
            <w:tcBorders>
              <w:top w:val="nil"/>
              <w:left w:val="nil"/>
              <w:bottom w:val="single" w:sz="8" w:space="0" w:color="auto"/>
              <w:right w:val="single" w:sz="8" w:space="0" w:color="auto"/>
            </w:tcBorders>
            <w:shd w:val="clear" w:color="auto" w:fill="auto"/>
            <w:noWrap/>
            <w:vAlign w:val="center"/>
            <w:hideMark/>
          </w:tcPr>
          <w:p w:rsidR="009819A7" w:rsidRPr="009819A7" w:rsidRDefault="009819A7" w:rsidP="009819A7">
            <w:pPr>
              <w:spacing w:after="0" w:line="240" w:lineRule="auto"/>
              <w:jc w:val="center"/>
              <w:rPr>
                <w:rFonts w:ascii="Arial" w:eastAsia="Times New Roman" w:hAnsi="Arial" w:cs="Arial"/>
                <w:color w:val="000000"/>
                <w:lang w:val="pt-PT"/>
              </w:rPr>
            </w:pPr>
            <w:r w:rsidRPr="009819A7">
              <w:rPr>
                <w:rFonts w:ascii="Arial" w:eastAsia="Times New Roman" w:hAnsi="Arial" w:cs="Arial"/>
                <w:color w:val="000000"/>
                <w:lang w:val="pt-PT"/>
              </w:rPr>
              <w:t>2,248405258</w:t>
            </w:r>
          </w:p>
        </w:tc>
      </w:tr>
    </w:tbl>
    <w:p w:rsidR="00A92927" w:rsidRDefault="00A92927" w:rsidP="004705DB">
      <w:pPr>
        <w:spacing w:after="0"/>
        <w:ind w:firstLine="567"/>
        <w:jc w:val="center"/>
        <w:rPr>
          <w:rFonts w:ascii="Arial" w:hAnsi="Arial" w:cs="Arial"/>
        </w:rPr>
      </w:pPr>
      <w:r w:rsidRPr="004705DB">
        <w:rPr>
          <w:rFonts w:ascii="Arial" w:hAnsi="Arial" w:cs="Arial"/>
          <w:b/>
        </w:rPr>
        <w:t>Source:</w:t>
      </w:r>
      <w:r w:rsidRPr="00763118">
        <w:rPr>
          <w:rFonts w:ascii="Arial" w:hAnsi="Arial" w:cs="Arial"/>
        </w:rPr>
        <w:t xml:space="preserve"> Own calculations from INTRACEN Database</w:t>
      </w:r>
    </w:p>
    <w:p w:rsidR="004705DB" w:rsidRPr="00763118" w:rsidRDefault="004705DB" w:rsidP="004705DB">
      <w:pPr>
        <w:spacing w:after="0"/>
        <w:ind w:firstLine="567"/>
        <w:jc w:val="center"/>
        <w:rPr>
          <w:rFonts w:ascii="Arial" w:hAnsi="Arial" w:cs="Arial"/>
        </w:rPr>
      </w:pPr>
    </w:p>
    <w:p w:rsidR="0087209C" w:rsidRPr="00763118" w:rsidRDefault="0087209C" w:rsidP="001D343E">
      <w:pPr>
        <w:spacing w:after="0"/>
        <w:ind w:firstLine="567"/>
        <w:jc w:val="right"/>
        <w:rPr>
          <w:rFonts w:ascii="Arial" w:hAnsi="Arial" w:cs="Arial"/>
        </w:rPr>
      </w:pPr>
    </w:p>
    <w:p w:rsidR="0087209C" w:rsidRPr="00763118" w:rsidRDefault="0087209C" w:rsidP="00AA35B4">
      <w:pPr>
        <w:ind w:firstLine="567"/>
        <w:rPr>
          <w:rFonts w:ascii="Arial" w:hAnsi="Arial" w:cs="Arial"/>
        </w:rPr>
      </w:pPr>
      <w:r w:rsidRPr="00763118">
        <w:rPr>
          <w:rFonts w:ascii="Arial" w:hAnsi="Arial" w:cs="Arial"/>
        </w:rPr>
        <w:br w:type="page"/>
      </w:r>
    </w:p>
    <w:p w:rsidR="0087209C" w:rsidRPr="00763118" w:rsidRDefault="00E42F6E" w:rsidP="001D343E">
      <w:pPr>
        <w:spacing w:after="0"/>
        <w:jc w:val="center"/>
        <w:rPr>
          <w:rFonts w:ascii="Arial" w:hAnsi="Arial" w:cs="Arial"/>
        </w:rPr>
      </w:pPr>
      <w:proofErr w:type="gramStart"/>
      <w:r>
        <w:rPr>
          <w:rFonts w:ascii="Arial" w:hAnsi="Arial" w:cs="Arial"/>
          <w:b/>
        </w:rPr>
        <w:lastRenderedPageBreak/>
        <w:t>Table 9</w:t>
      </w:r>
      <w:r w:rsidR="001D343E" w:rsidRPr="00763118">
        <w:rPr>
          <w:rFonts w:ascii="Arial" w:hAnsi="Arial" w:cs="Arial"/>
          <w:b/>
        </w:rPr>
        <w:t>.</w:t>
      </w:r>
      <w:proofErr w:type="gramEnd"/>
      <w:r w:rsidR="001D343E" w:rsidRPr="00763118">
        <w:rPr>
          <w:rFonts w:ascii="Arial" w:hAnsi="Arial" w:cs="Arial"/>
          <w:b/>
        </w:rPr>
        <w:t xml:space="preserve"> </w:t>
      </w:r>
      <w:r w:rsidR="0087209C" w:rsidRPr="00763118">
        <w:rPr>
          <w:rFonts w:ascii="Arial" w:hAnsi="Arial" w:cs="Arial"/>
        </w:rPr>
        <w:t>Trade Complementary Index</w:t>
      </w:r>
      <w:r w:rsidR="00E2741F" w:rsidRPr="00763118">
        <w:rPr>
          <w:rFonts w:ascii="Arial" w:hAnsi="Arial" w:cs="Arial"/>
        </w:rPr>
        <w:t xml:space="preserve"> and Geographical Orientation Index</w:t>
      </w:r>
      <w:r w:rsidR="0087209C" w:rsidRPr="00763118">
        <w:rPr>
          <w:rFonts w:ascii="Arial" w:hAnsi="Arial" w:cs="Arial"/>
        </w:rPr>
        <w:t xml:space="preserve"> </w:t>
      </w:r>
      <w:r w:rsidR="00E2741F" w:rsidRPr="00763118">
        <w:rPr>
          <w:rFonts w:ascii="Arial" w:hAnsi="Arial" w:cs="Arial"/>
        </w:rPr>
        <w:t>for</w:t>
      </w:r>
      <w:r w:rsidR="0087209C" w:rsidRPr="00763118">
        <w:rPr>
          <w:rFonts w:ascii="Arial" w:hAnsi="Arial" w:cs="Arial"/>
        </w:rPr>
        <w:t xml:space="preserve"> Portugal</w:t>
      </w:r>
      <w:r w:rsidR="001D343E" w:rsidRPr="00763118">
        <w:rPr>
          <w:rFonts w:ascii="Arial" w:hAnsi="Arial" w:cs="Arial"/>
        </w:rPr>
        <w:t xml:space="preserve"> - </w:t>
      </w:r>
      <w:r w:rsidR="00E2741F" w:rsidRPr="00763118">
        <w:rPr>
          <w:rFonts w:ascii="Arial" w:hAnsi="Arial" w:cs="Arial"/>
        </w:rPr>
        <w:t>European Union</w:t>
      </w:r>
    </w:p>
    <w:tbl>
      <w:tblPr>
        <w:tblW w:w="8640" w:type="dxa"/>
        <w:tblCellMar>
          <w:left w:w="70" w:type="dxa"/>
          <w:right w:w="70" w:type="dxa"/>
        </w:tblCellMar>
        <w:tblLook w:val="04A0"/>
      </w:tblPr>
      <w:tblGrid>
        <w:gridCol w:w="1204"/>
        <w:gridCol w:w="716"/>
        <w:gridCol w:w="960"/>
        <w:gridCol w:w="960"/>
        <w:gridCol w:w="960"/>
        <w:gridCol w:w="960"/>
        <w:gridCol w:w="960"/>
        <w:gridCol w:w="960"/>
        <w:gridCol w:w="960"/>
      </w:tblGrid>
      <w:tr w:rsidR="00E2741F" w:rsidRPr="00920E10" w:rsidTr="00920E10">
        <w:trPr>
          <w:trHeight w:val="315"/>
        </w:trPr>
        <w:tc>
          <w:tcPr>
            <w:tcW w:w="1204" w:type="dxa"/>
            <w:tcBorders>
              <w:top w:val="nil"/>
              <w:left w:val="nil"/>
              <w:bottom w:val="nil"/>
              <w:right w:val="nil"/>
            </w:tcBorders>
            <w:shd w:val="clear" w:color="auto" w:fill="auto"/>
            <w:noWrap/>
            <w:vAlign w:val="center"/>
            <w:hideMark/>
          </w:tcPr>
          <w:p w:rsidR="00E2741F" w:rsidRPr="00763118" w:rsidRDefault="00E2741F" w:rsidP="00E2741F">
            <w:pPr>
              <w:spacing w:after="0" w:line="240" w:lineRule="auto"/>
              <w:rPr>
                <w:rFonts w:ascii="Arial" w:eastAsia="Times New Roman" w:hAnsi="Arial" w:cs="Arial"/>
              </w:rPr>
            </w:pPr>
          </w:p>
        </w:tc>
        <w:tc>
          <w:tcPr>
            <w:tcW w:w="1676" w:type="dxa"/>
            <w:gridSpan w:val="2"/>
            <w:tcBorders>
              <w:top w:val="single" w:sz="8" w:space="0" w:color="auto"/>
              <w:left w:val="single" w:sz="8" w:space="0" w:color="auto"/>
              <w:bottom w:val="single" w:sz="8" w:space="0" w:color="auto"/>
              <w:right w:val="single" w:sz="8" w:space="0" w:color="auto"/>
            </w:tcBorders>
            <w:shd w:val="clear" w:color="000000" w:fill="BFBFBF"/>
            <w:vAlign w:val="bottom"/>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2001-2013</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2001-2003</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2004-2008</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2009-2013</w:t>
            </w:r>
          </w:p>
        </w:tc>
      </w:tr>
      <w:tr w:rsidR="00E2741F" w:rsidRPr="00920E10" w:rsidTr="00920E10">
        <w:trPr>
          <w:trHeight w:val="315"/>
        </w:trPr>
        <w:tc>
          <w:tcPr>
            <w:tcW w:w="1204" w:type="dxa"/>
            <w:tcBorders>
              <w:top w:val="nil"/>
              <w:left w:val="nil"/>
              <w:bottom w:val="nil"/>
              <w:right w:val="nil"/>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
        </w:tc>
        <w:tc>
          <w:tcPr>
            <w:tcW w:w="716" w:type="dxa"/>
            <w:tcBorders>
              <w:top w:val="nil"/>
              <w:left w:val="single" w:sz="8" w:space="0" w:color="auto"/>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r w:rsidRPr="00920E10">
              <w:rPr>
                <w:rFonts w:ascii="Arial" w:eastAsia="Times New Roman" w:hAnsi="Arial" w:cs="Arial"/>
                <w:b/>
                <w:bCs/>
                <w:color w:val="000000"/>
                <w:lang w:val="pt-PT"/>
              </w:rPr>
              <w:t>GOI</w:t>
            </w:r>
          </w:p>
        </w:tc>
      </w:tr>
      <w:tr w:rsidR="00E2741F" w:rsidRPr="00920E10" w:rsidTr="00920E10">
        <w:trPr>
          <w:trHeight w:val="315"/>
        </w:trPr>
        <w:tc>
          <w:tcPr>
            <w:tcW w:w="1204" w:type="dxa"/>
            <w:tcBorders>
              <w:top w:val="single" w:sz="8" w:space="0" w:color="auto"/>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0,723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1,710</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2,107</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2,332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1,841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2,778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1,658</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3</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0,612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0,516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0,595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0,687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2,624</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4</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1,584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0,799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1,251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1,468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1,899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0,998</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5</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1,617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1,175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1,503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1,997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1,917</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6</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3,267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2,601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3,272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3,662</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1,562</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7</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0,670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3,191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0,659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0,824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3,305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0,524</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3,551</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8</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0,292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0,165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0,248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0,413</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1,108</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9</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0,611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0,462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0,626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2,126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0,687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2,037</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10</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0,633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0,612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0,548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0,730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1,637</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11</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0,863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0,669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0,888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0,955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1,834</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12</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1,199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0,807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1,236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1,398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2,061</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13</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0,496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0,557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0,377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0,580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2,214</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14</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1,349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1,018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1,261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1,635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2,510</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15</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0,494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0,413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0,391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0,647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2,012</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16</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4,546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4,499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3,982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5,139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2,073</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17</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2,264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1,931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1,321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3,406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1,925</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18</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1,093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2,951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1,206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2,680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1,060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2,727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1,059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3,338</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19</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2,239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2,708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1,952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2,245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2,204</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20</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3,665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3,981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3,555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3,585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2,247</w:t>
            </w:r>
          </w:p>
        </w:tc>
      </w:tr>
      <w:tr w:rsidR="00E2741F" w:rsidRPr="00920E10" w:rsidTr="00920E10">
        <w:trPr>
          <w:trHeight w:val="315"/>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21</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6,080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6,265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5,593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6,457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2,388</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22</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3,761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3,401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3,702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4,036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2,395</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23</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0,154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3,557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0,122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2,796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0,058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2,915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0,270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4,655</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24</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0,968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0,823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0,928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1,096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2,209</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25</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1,008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0,879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1,036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1,058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2,395</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26</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1,462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1,422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1,568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2,144</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27</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0,537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2,371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0,564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2,091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0,472</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2,570</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28</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1,540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1,575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1,558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2,417</w:t>
            </w:r>
          </w:p>
        </w:tc>
      </w:tr>
      <w:tr w:rsidR="00E2741F" w:rsidRPr="00920E10" w:rsidTr="00920E10">
        <w:trPr>
          <w:trHeight w:val="300"/>
        </w:trPr>
        <w:tc>
          <w:tcPr>
            <w:tcW w:w="1204"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29</w:t>
            </w:r>
          </w:p>
        </w:tc>
        <w:tc>
          <w:tcPr>
            <w:tcW w:w="716"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0,292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0,316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0,217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2,171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0,353</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2,229</w:t>
            </w:r>
          </w:p>
        </w:tc>
      </w:tr>
      <w:tr w:rsidR="00E2741F" w:rsidRPr="00763118" w:rsidTr="00920E10">
        <w:trPr>
          <w:trHeight w:val="315"/>
        </w:trPr>
        <w:tc>
          <w:tcPr>
            <w:tcW w:w="1204" w:type="dxa"/>
            <w:tcBorders>
              <w:top w:val="nil"/>
              <w:left w:val="single" w:sz="8" w:space="0" w:color="auto"/>
              <w:bottom w:val="single" w:sz="8" w:space="0" w:color="auto"/>
              <w:right w:val="single" w:sz="8" w:space="0" w:color="auto"/>
            </w:tcBorders>
            <w:shd w:val="clear" w:color="000000" w:fill="BFBFBF"/>
            <w:noWrap/>
            <w:vAlign w:val="center"/>
            <w:hideMark/>
          </w:tcPr>
          <w:p w:rsidR="00E2741F" w:rsidRPr="00920E10" w:rsidRDefault="00E2741F" w:rsidP="00E2741F">
            <w:pPr>
              <w:spacing w:after="0" w:line="240" w:lineRule="auto"/>
              <w:jc w:val="center"/>
              <w:rPr>
                <w:rFonts w:ascii="Arial" w:eastAsia="Times New Roman" w:hAnsi="Arial" w:cs="Arial"/>
                <w:b/>
                <w:bCs/>
                <w:color w:val="000000"/>
                <w:lang w:val="pt-PT"/>
              </w:rPr>
            </w:pPr>
            <w:proofErr w:type="spellStart"/>
            <w:r w:rsidRPr="00920E10">
              <w:rPr>
                <w:rFonts w:ascii="Arial" w:eastAsia="Times New Roman" w:hAnsi="Arial" w:cs="Arial"/>
                <w:b/>
                <w:bCs/>
                <w:color w:val="000000"/>
                <w:lang w:val="pt-PT"/>
              </w:rPr>
              <w:t>Group</w:t>
            </w:r>
            <w:proofErr w:type="spellEnd"/>
            <w:r w:rsidRPr="00920E10">
              <w:rPr>
                <w:rFonts w:ascii="Arial" w:eastAsia="Times New Roman" w:hAnsi="Arial" w:cs="Arial"/>
                <w:b/>
                <w:bCs/>
                <w:color w:val="000000"/>
                <w:lang w:val="pt-PT"/>
              </w:rPr>
              <w:t xml:space="preserve"> 30</w:t>
            </w:r>
          </w:p>
        </w:tc>
        <w:tc>
          <w:tcPr>
            <w:tcW w:w="716" w:type="dxa"/>
            <w:tcBorders>
              <w:top w:val="nil"/>
              <w:left w:val="nil"/>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1,767</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1,387</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0,588</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1,808</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2,968</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0,823</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920E10"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1,273</w:t>
            </w:r>
          </w:p>
        </w:tc>
        <w:tc>
          <w:tcPr>
            <w:tcW w:w="960" w:type="dxa"/>
            <w:tcBorders>
              <w:top w:val="nil"/>
              <w:left w:val="nil"/>
              <w:bottom w:val="single" w:sz="8"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920E10">
              <w:rPr>
                <w:rFonts w:ascii="Arial" w:eastAsia="Times New Roman" w:hAnsi="Arial" w:cs="Arial"/>
                <w:color w:val="000000"/>
                <w:lang w:val="pt-PT"/>
              </w:rPr>
              <w:t>1,698</w:t>
            </w:r>
          </w:p>
        </w:tc>
      </w:tr>
    </w:tbl>
    <w:p w:rsidR="00A92927" w:rsidRPr="00763118" w:rsidRDefault="00A92927" w:rsidP="00920E10">
      <w:pPr>
        <w:spacing w:after="0"/>
        <w:ind w:firstLine="567"/>
        <w:jc w:val="center"/>
        <w:rPr>
          <w:rFonts w:ascii="Arial" w:hAnsi="Arial" w:cs="Arial"/>
        </w:rPr>
      </w:pPr>
      <w:r w:rsidRPr="00920E10">
        <w:rPr>
          <w:rFonts w:ascii="Arial" w:hAnsi="Arial" w:cs="Arial"/>
          <w:b/>
        </w:rPr>
        <w:t>Source:</w:t>
      </w:r>
      <w:r w:rsidRPr="00763118">
        <w:rPr>
          <w:rFonts w:ascii="Arial" w:hAnsi="Arial" w:cs="Arial"/>
        </w:rPr>
        <w:t xml:space="preserve"> Own calculations from INTRACEN Database</w:t>
      </w:r>
    </w:p>
    <w:p w:rsidR="0087209C" w:rsidRPr="00763118" w:rsidRDefault="0087209C" w:rsidP="00AA35B4">
      <w:pPr>
        <w:ind w:firstLine="567"/>
        <w:rPr>
          <w:rFonts w:ascii="Arial" w:hAnsi="Arial" w:cs="Arial"/>
        </w:rPr>
      </w:pPr>
    </w:p>
    <w:p w:rsidR="0087209C" w:rsidRPr="00763118" w:rsidRDefault="0087209C" w:rsidP="00AA35B4">
      <w:pPr>
        <w:ind w:firstLine="567"/>
        <w:rPr>
          <w:rFonts w:ascii="Arial" w:hAnsi="Arial" w:cs="Arial"/>
        </w:rPr>
      </w:pPr>
    </w:p>
    <w:p w:rsidR="0087209C" w:rsidRPr="00763118" w:rsidRDefault="0087209C" w:rsidP="00AA35B4">
      <w:pPr>
        <w:ind w:firstLine="567"/>
        <w:rPr>
          <w:rFonts w:ascii="Arial" w:hAnsi="Arial" w:cs="Arial"/>
        </w:rPr>
      </w:pPr>
    </w:p>
    <w:p w:rsidR="0087209C" w:rsidRPr="00763118" w:rsidRDefault="0087209C" w:rsidP="00AA35B4">
      <w:pPr>
        <w:ind w:firstLine="567"/>
        <w:rPr>
          <w:rFonts w:ascii="Arial" w:hAnsi="Arial" w:cs="Arial"/>
        </w:rPr>
      </w:pPr>
      <w:r w:rsidRPr="00763118">
        <w:rPr>
          <w:rFonts w:ascii="Arial" w:hAnsi="Arial" w:cs="Arial"/>
        </w:rPr>
        <w:br w:type="page"/>
      </w:r>
    </w:p>
    <w:p w:rsidR="001D343E" w:rsidRPr="00763118" w:rsidRDefault="00E42F6E" w:rsidP="001D343E">
      <w:pPr>
        <w:spacing w:after="0"/>
        <w:jc w:val="center"/>
        <w:rPr>
          <w:rFonts w:ascii="Arial" w:hAnsi="Arial" w:cs="Arial"/>
        </w:rPr>
      </w:pPr>
      <w:proofErr w:type="gramStart"/>
      <w:r>
        <w:rPr>
          <w:rFonts w:ascii="Arial" w:hAnsi="Arial" w:cs="Arial"/>
          <w:b/>
        </w:rPr>
        <w:lastRenderedPageBreak/>
        <w:t>Table 10</w:t>
      </w:r>
      <w:r w:rsidR="001D343E" w:rsidRPr="00763118">
        <w:rPr>
          <w:rFonts w:ascii="Arial" w:hAnsi="Arial" w:cs="Arial"/>
          <w:b/>
        </w:rPr>
        <w:t>.</w:t>
      </w:r>
      <w:proofErr w:type="gramEnd"/>
      <w:r w:rsidR="001D343E" w:rsidRPr="00763118">
        <w:rPr>
          <w:rFonts w:ascii="Arial" w:hAnsi="Arial" w:cs="Arial"/>
          <w:b/>
        </w:rPr>
        <w:t xml:space="preserve"> </w:t>
      </w:r>
      <w:r w:rsidR="001D343E" w:rsidRPr="00763118">
        <w:rPr>
          <w:rFonts w:ascii="Arial" w:hAnsi="Arial" w:cs="Arial"/>
        </w:rPr>
        <w:t>Trade Complementary Index and Geographical Orientation Index for Poland - European Union</w:t>
      </w:r>
    </w:p>
    <w:tbl>
      <w:tblPr>
        <w:tblW w:w="8909" w:type="dxa"/>
        <w:tblCellMar>
          <w:left w:w="70" w:type="dxa"/>
          <w:right w:w="70" w:type="dxa"/>
        </w:tblCellMar>
        <w:tblLook w:val="04A0"/>
      </w:tblPr>
      <w:tblGrid>
        <w:gridCol w:w="1229"/>
        <w:gridCol w:w="960"/>
        <w:gridCol w:w="960"/>
        <w:gridCol w:w="960"/>
        <w:gridCol w:w="960"/>
        <w:gridCol w:w="960"/>
        <w:gridCol w:w="960"/>
        <w:gridCol w:w="960"/>
        <w:gridCol w:w="960"/>
      </w:tblGrid>
      <w:tr w:rsidR="00E2741F" w:rsidRPr="00763118" w:rsidTr="00920E10">
        <w:trPr>
          <w:trHeight w:val="315"/>
        </w:trPr>
        <w:tc>
          <w:tcPr>
            <w:tcW w:w="1229" w:type="dxa"/>
            <w:tcBorders>
              <w:top w:val="nil"/>
              <w:left w:val="nil"/>
              <w:bottom w:val="nil"/>
              <w:right w:val="nil"/>
            </w:tcBorders>
            <w:shd w:val="clear" w:color="auto" w:fill="auto"/>
            <w:noWrap/>
            <w:vAlign w:val="center"/>
            <w:hideMark/>
          </w:tcPr>
          <w:p w:rsidR="00E2741F" w:rsidRPr="00763118" w:rsidRDefault="00E2741F" w:rsidP="00E2741F">
            <w:pPr>
              <w:spacing w:after="0" w:line="240" w:lineRule="auto"/>
              <w:rPr>
                <w:rFonts w:ascii="Arial" w:eastAsia="Times New Roman" w:hAnsi="Arial" w:cs="Arial"/>
              </w:rPr>
            </w:pPr>
          </w:p>
        </w:tc>
        <w:tc>
          <w:tcPr>
            <w:tcW w:w="1920" w:type="dxa"/>
            <w:gridSpan w:val="2"/>
            <w:tcBorders>
              <w:top w:val="single" w:sz="8" w:space="0" w:color="auto"/>
              <w:left w:val="single" w:sz="8" w:space="0" w:color="auto"/>
              <w:bottom w:val="single" w:sz="8" w:space="0" w:color="auto"/>
              <w:right w:val="single" w:sz="8" w:space="0" w:color="auto"/>
            </w:tcBorders>
            <w:shd w:val="clear" w:color="000000" w:fill="BFBFBF"/>
            <w:vAlign w:val="bottom"/>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2001-2013</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2001-2003</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2004-2008</w:t>
            </w:r>
          </w:p>
        </w:tc>
        <w:tc>
          <w:tcPr>
            <w:tcW w:w="1920" w:type="dxa"/>
            <w:gridSpan w:val="2"/>
            <w:tcBorders>
              <w:top w:val="single" w:sz="8" w:space="0" w:color="auto"/>
              <w:left w:val="nil"/>
              <w:bottom w:val="single" w:sz="8" w:space="0" w:color="auto"/>
              <w:right w:val="single" w:sz="8" w:space="0" w:color="auto"/>
            </w:tcBorders>
            <w:shd w:val="clear" w:color="000000" w:fill="BFBFBF"/>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2009-2013</w:t>
            </w:r>
          </w:p>
        </w:tc>
      </w:tr>
      <w:tr w:rsidR="00E2741F" w:rsidRPr="00763118" w:rsidTr="00920E10">
        <w:trPr>
          <w:trHeight w:val="315"/>
        </w:trPr>
        <w:tc>
          <w:tcPr>
            <w:tcW w:w="1229" w:type="dxa"/>
            <w:tcBorders>
              <w:top w:val="nil"/>
              <w:left w:val="nil"/>
              <w:bottom w:val="nil"/>
              <w:right w:val="nil"/>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
        </w:tc>
        <w:tc>
          <w:tcPr>
            <w:tcW w:w="960" w:type="dxa"/>
            <w:tcBorders>
              <w:top w:val="nil"/>
              <w:left w:val="single" w:sz="8" w:space="0" w:color="auto"/>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GOI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TCI</w:t>
            </w:r>
          </w:p>
        </w:tc>
        <w:tc>
          <w:tcPr>
            <w:tcW w:w="960" w:type="dxa"/>
            <w:tcBorders>
              <w:top w:val="nil"/>
              <w:left w:val="nil"/>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r w:rsidRPr="00763118">
              <w:rPr>
                <w:rFonts w:ascii="Arial" w:eastAsia="Times New Roman" w:hAnsi="Arial" w:cs="Arial"/>
                <w:b/>
                <w:bCs/>
                <w:color w:val="000000"/>
                <w:lang w:val="pt-PT"/>
              </w:rPr>
              <w:t>GOI</w:t>
            </w:r>
          </w:p>
        </w:tc>
      </w:tr>
      <w:tr w:rsidR="00E2741F" w:rsidRPr="00763118" w:rsidTr="00920E10">
        <w:trPr>
          <w:trHeight w:val="315"/>
        </w:trPr>
        <w:tc>
          <w:tcPr>
            <w:tcW w:w="1229" w:type="dxa"/>
            <w:tcBorders>
              <w:top w:val="single" w:sz="8" w:space="0" w:color="auto"/>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0,723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1,710</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2,107</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2,332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1,841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2,778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1,658</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0,612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0,516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0,595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0,687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2,624</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1,584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0,799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1,251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1,468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1,899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0,998</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1,617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1,175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1,503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1,997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1,917</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3,267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2,601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3,272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3,662</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1,562</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0,670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3,191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0,659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0,824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3,305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0,524</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3,551</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0,292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0,165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0,248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0,413</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1,108</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0,611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0,462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0,626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2,126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0,687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2,037</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0,633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0,612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0,548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0,730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1,637</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0,863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0,669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0,888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0,955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1,834</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1,199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0,807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1,236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1,398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2,061</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0,496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0,557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0,377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0,580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2,214</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1,349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1,018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1,261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1,635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2,510</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0,494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0,413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0,391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0,647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2,012</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4,546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4,499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3,982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5,139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2,073</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2,264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1,931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1,321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3,406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1,925</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1,093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2,951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1,206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2,680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1,060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1,059</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3,338</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19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2,239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2,708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1,952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2,245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2,204</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3,665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3,981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3,555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3,585</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2,247</w:t>
            </w:r>
          </w:p>
        </w:tc>
      </w:tr>
      <w:tr w:rsidR="00E2741F" w:rsidRPr="00763118" w:rsidTr="00920E10">
        <w:trPr>
          <w:trHeight w:val="315"/>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6,080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6,265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5,593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6,457</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2,388</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3,761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3,401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3,702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4,036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2,395</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0,154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3,557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0,122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2,796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0,058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2,915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0,270</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4,655</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0,968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0,823</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0,928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1,096</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2,209</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1,008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0,879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1,036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1,058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2,395</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1,462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1,422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1,380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1,568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2,144</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0,537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0,599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2,371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0,564</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2,091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0,472</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2,570</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28</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1,540</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1,575</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1,501</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1,558</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2,417</w:t>
            </w:r>
          </w:p>
        </w:tc>
      </w:tr>
      <w:tr w:rsidR="00E2741F" w:rsidRPr="00763118" w:rsidTr="00920E10">
        <w:trPr>
          <w:trHeight w:val="300"/>
        </w:trPr>
        <w:tc>
          <w:tcPr>
            <w:tcW w:w="1229" w:type="dxa"/>
            <w:tcBorders>
              <w:top w:val="nil"/>
              <w:left w:val="single" w:sz="8" w:space="0" w:color="auto"/>
              <w:bottom w:val="single" w:sz="4"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29</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0,292</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0,316</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0,217</w:t>
            </w:r>
          </w:p>
        </w:tc>
        <w:tc>
          <w:tcPr>
            <w:tcW w:w="960" w:type="dxa"/>
            <w:tcBorders>
              <w:top w:val="nil"/>
              <w:left w:val="nil"/>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2,171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0,353</w:t>
            </w:r>
          </w:p>
        </w:tc>
        <w:tc>
          <w:tcPr>
            <w:tcW w:w="960" w:type="dxa"/>
            <w:tcBorders>
              <w:top w:val="nil"/>
              <w:left w:val="nil"/>
              <w:bottom w:val="single" w:sz="4"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2,229</w:t>
            </w:r>
          </w:p>
        </w:tc>
      </w:tr>
      <w:tr w:rsidR="00E2741F" w:rsidRPr="00763118" w:rsidTr="00920E10">
        <w:trPr>
          <w:trHeight w:val="315"/>
        </w:trPr>
        <w:tc>
          <w:tcPr>
            <w:tcW w:w="1229" w:type="dxa"/>
            <w:tcBorders>
              <w:top w:val="nil"/>
              <w:left w:val="single" w:sz="8" w:space="0" w:color="auto"/>
              <w:bottom w:val="single" w:sz="8" w:space="0" w:color="auto"/>
              <w:right w:val="single" w:sz="8" w:space="0" w:color="auto"/>
            </w:tcBorders>
            <w:shd w:val="clear" w:color="000000" w:fill="BFBFBF"/>
            <w:noWrap/>
            <w:vAlign w:val="center"/>
            <w:hideMark/>
          </w:tcPr>
          <w:p w:rsidR="00E2741F" w:rsidRPr="00763118" w:rsidRDefault="00E2741F" w:rsidP="00E2741F">
            <w:pPr>
              <w:spacing w:after="0" w:line="240" w:lineRule="auto"/>
              <w:jc w:val="center"/>
              <w:rPr>
                <w:rFonts w:ascii="Arial" w:eastAsia="Times New Roman" w:hAnsi="Arial" w:cs="Arial"/>
                <w:b/>
                <w:bCs/>
                <w:color w:val="000000"/>
                <w:lang w:val="pt-PT"/>
              </w:rPr>
            </w:pPr>
            <w:proofErr w:type="spellStart"/>
            <w:r w:rsidRPr="00763118">
              <w:rPr>
                <w:rFonts w:ascii="Arial" w:eastAsia="Times New Roman" w:hAnsi="Arial" w:cs="Arial"/>
                <w:b/>
                <w:bCs/>
                <w:color w:val="000000"/>
                <w:lang w:val="pt-PT"/>
              </w:rPr>
              <w:t>Group</w:t>
            </w:r>
            <w:proofErr w:type="spellEnd"/>
            <w:r w:rsidRPr="00763118">
              <w:rPr>
                <w:rFonts w:ascii="Arial" w:eastAsia="Times New Roman" w:hAnsi="Arial" w:cs="Arial"/>
                <w:b/>
                <w:bCs/>
                <w:color w:val="000000"/>
                <w:lang w:val="pt-PT"/>
              </w:rPr>
              <w:t xml:space="preserve"> 30</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1,767</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1,387</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0,588</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1,808</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2,968</w:t>
            </w:r>
          </w:p>
        </w:tc>
        <w:tc>
          <w:tcPr>
            <w:tcW w:w="960" w:type="dxa"/>
            <w:tcBorders>
              <w:top w:val="nil"/>
              <w:left w:val="nil"/>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0,823</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1,273</w:t>
            </w:r>
          </w:p>
        </w:tc>
        <w:tc>
          <w:tcPr>
            <w:tcW w:w="960" w:type="dxa"/>
            <w:tcBorders>
              <w:top w:val="nil"/>
              <w:left w:val="nil"/>
              <w:bottom w:val="single" w:sz="8" w:space="0" w:color="auto"/>
              <w:right w:val="single" w:sz="8" w:space="0" w:color="auto"/>
            </w:tcBorders>
            <w:shd w:val="clear" w:color="auto" w:fill="auto"/>
            <w:noWrap/>
            <w:vAlign w:val="center"/>
            <w:hideMark/>
          </w:tcPr>
          <w:p w:rsidR="00E2741F" w:rsidRPr="00763118" w:rsidRDefault="00E2741F" w:rsidP="00E2741F">
            <w:pPr>
              <w:spacing w:after="0" w:line="240" w:lineRule="auto"/>
              <w:jc w:val="center"/>
              <w:rPr>
                <w:rFonts w:ascii="Arial" w:eastAsia="Times New Roman" w:hAnsi="Arial" w:cs="Arial"/>
                <w:color w:val="000000"/>
                <w:lang w:val="pt-PT"/>
              </w:rPr>
            </w:pPr>
            <w:r w:rsidRPr="00763118">
              <w:rPr>
                <w:rFonts w:ascii="Arial" w:eastAsia="Times New Roman" w:hAnsi="Arial" w:cs="Arial"/>
                <w:color w:val="000000"/>
                <w:lang w:val="pt-PT"/>
              </w:rPr>
              <w:t>1,698</w:t>
            </w:r>
          </w:p>
        </w:tc>
      </w:tr>
    </w:tbl>
    <w:p w:rsidR="00920E10" w:rsidRPr="00763118" w:rsidRDefault="00920E10" w:rsidP="00920E10">
      <w:pPr>
        <w:spacing w:after="0"/>
        <w:ind w:firstLine="567"/>
        <w:jc w:val="center"/>
        <w:rPr>
          <w:rFonts w:ascii="Arial" w:hAnsi="Arial" w:cs="Arial"/>
        </w:rPr>
      </w:pPr>
      <w:r w:rsidRPr="00920E10">
        <w:rPr>
          <w:rFonts w:ascii="Arial" w:hAnsi="Arial" w:cs="Arial"/>
          <w:b/>
        </w:rPr>
        <w:t>Source:</w:t>
      </w:r>
      <w:r w:rsidRPr="00763118">
        <w:rPr>
          <w:rFonts w:ascii="Arial" w:hAnsi="Arial" w:cs="Arial"/>
        </w:rPr>
        <w:t xml:space="preserve"> Own calculations from INTRACEN Database</w:t>
      </w:r>
    </w:p>
    <w:p w:rsidR="00921229" w:rsidRPr="00763118" w:rsidRDefault="00921229" w:rsidP="0055653D">
      <w:pPr>
        <w:rPr>
          <w:rFonts w:ascii="Arial" w:hAnsi="Arial" w:cs="Arial"/>
        </w:rPr>
      </w:pPr>
    </w:p>
    <w:p w:rsidR="0087209C" w:rsidRPr="00763118" w:rsidRDefault="0087209C" w:rsidP="00AA35B4">
      <w:pPr>
        <w:spacing w:after="0"/>
        <w:ind w:firstLine="567"/>
        <w:jc w:val="center"/>
        <w:rPr>
          <w:rFonts w:ascii="Arial" w:hAnsi="Arial" w:cs="Arial"/>
        </w:rPr>
      </w:pPr>
    </w:p>
    <w:p w:rsidR="0087209C" w:rsidRPr="00763118" w:rsidRDefault="0087209C" w:rsidP="00AA35B4">
      <w:pPr>
        <w:ind w:firstLine="567"/>
        <w:rPr>
          <w:rFonts w:ascii="Arial" w:hAnsi="Arial" w:cs="Arial"/>
        </w:rPr>
      </w:pPr>
    </w:p>
    <w:p w:rsidR="0087209C" w:rsidRPr="00763118" w:rsidRDefault="0087209C" w:rsidP="001D343E">
      <w:pPr>
        <w:rPr>
          <w:rFonts w:ascii="Arial" w:hAnsi="Arial" w:cs="Arial"/>
        </w:rPr>
      </w:pPr>
    </w:p>
    <w:sectPr w:rsidR="0087209C" w:rsidRPr="00763118" w:rsidSect="00A241D5">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BA" w:rsidRDefault="004025BA" w:rsidP="0087209C">
      <w:pPr>
        <w:spacing w:after="0" w:line="240" w:lineRule="auto"/>
      </w:pPr>
      <w:r>
        <w:separator/>
      </w:r>
    </w:p>
  </w:endnote>
  <w:endnote w:type="continuationSeparator" w:id="0">
    <w:p w:rsidR="004025BA" w:rsidRDefault="004025BA" w:rsidP="0087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BA" w:rsidRDefault="004025BA" w:rsidP="0087209C">
      <w:pPr>
        <w:spacing w:after="0" w:line="240" w:lineRule="auto"/>
      </w:pPr>
      <w:r>
        <w:separator/>
      </w:r>
    </w:p>
  </w:footnote>
  <w:footnote w:type="continuationSeparator" w:id="0">
    <w:p w:rsidR="004025BA" w:rsidRDefault="004025BA" w:rsidP="0087209C">
      <w:pPr>
        <w:spacing w:after="0" w:line="240" w:lineRule="auto"/>
      </w:pPr>
      <w:r>
        <w:continuationSeparator/>
      </w:r>
    </w:p>
  </w:footnote>
  <w:footnote w:id="1">
    <w:p w:rsidR="00276877" w:rsidRPr="00DC5F00" w:rsidRDefault="00276877" w:rsidP="004455CB">
      <w:pPr>
        <w:pStyle w:val="Textodenotaderodap"/>
        <w:jc w:val="both"/>
        <w:rPr>
          <w:rFonts w:ascii="Arial" w:hAnsi="Arial" w:cs="Arial"/>
        </w:rPr>
      </w:pPr>
      <w:r w:rsidRPr="00DC5F00">
        <w:rPr>
          <w:rStyle w:val="Refdenotaderodap"/>
          <w:rFonts w:ascii="Arial" w:hAnsi="Arial" w:cs="Arial"/>
        </w:rPr>
        <w:footnoteRef/>
      </w:r>
      <w:r w:rsidRPr="00DC5F00">
        <w:rPr>
          <w:rFonts w:ascii="Arial" w:hAnsi="Arial" w:cs="Arial"/>
        </w:rPr>
        <w:t xml:space="preserve"> See Amador et al. (2009).</w:t>
      </w:r>
    </w:p>
  </w:footnote>
  <w:footnote w:id="2">
    <w:p w:rsidR="00276877" w:rsidRPr="00BA68AB" w:rsidRDefault="00276877" w:rsidP="004455CB">
      <w:pPr>
        <w:pStyle w:val="Textodenotaderodap"/>
        <w:jc w:val="both"/>
        <w:rPr>
          <w:rFonts w:ascii="Times New Roman" w:hAnsi="Times New Roman" w:cs="Times New Roman"/>
        </w:rPr>
      </w:pPr>
      <w:r w:rsidRPr="00DC5F00">
        <w:rPr>
          <w:rStyle w:val="Refdenotaderodap"/>
          <w:rFonts w:ascii="Arial" w:hAnsi="Arial" w:cs="Arial"/>
        </w:rPr>
        <w:footnoteRef/>
      </w:r>
      <w:r w:rsidRPr="00DC5F00">
        <w:rPr>
          <w:rFonts w:ascii="Arial" w:hAnsi="Arial" w:cs="Arial"/>
        </w:rPr>
        <w:t xml:space="preserve"> OECD (2014) points the raise of the regular work week of central government employees from 35 hours to 40 hours with no pay rise, in September 2013.</w:t>
      </w:r>
      <w:r w:rsidRPr="00BA68AB">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93A"/>
    <w:multiLevelType w:val="hybridMultilevel"/>
    <w:tmpl w:val="5FA82EF2"/>
    <w:lvl w:ilvl="0" w:tplc="2A660F5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060701A"/>
    <w:multiLevelType w:val="hybridMultilevel"/>
    <w:tmpl w:val="A672DEE4"/>
    <w:lvl w:ilvl="0" w:tplc="B7360198">
      <w:start w:val="1"/>
      <w:numFmt w:val="lowerRoman"/>
      <w:lvlText w:val="%1."/>
      <w:lvlJc w:val="lef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30A1B36"/>
    <w:multiLevelType w:val="hybridMultilevel"/>
    <w:tmpl w:val="F0D47EE2"/>
    <w:lvl w:ilvl="0" w:tplc="141E1256">
      <w:start w:val="1"/>
      <w:numFmt w:val="upperRoman"/>
      <w:lvlText w:val="%1."/>
      <w:lvlJc w:val="left"/>
      <w:pPr>
        <w:ind w:left="1080" w:hanging="720"/>
      </w:pPr>
      <w:rPr>
        <w:rFonts w:ascii="Times New Roman" w:hAnsi="Times New Roman" w:cs="Times New Roman" w:hint="default"/>
        <w:sz w:val="2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85D1FFE"/>
    <w:multiLevelType w:val="hybridMultilevel"/>
    <w:tmpl w:val="D9B0D35A"/>
    <w:lvl w:ilvl="0" w:tplc="DF34759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7613296"/>
    <w:multiLevelType w:val="hybridMultilevel"/>
    <w:tmpl w:val="352A0174"/>
    <w:lvl w:ilvl="0" w:tplc="022836C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5DF0F7F"/>
    <w:multiLevelType w:val="hybridMultilevel"/>
    <w:tmpl w:val="BA0CEC20"/>
    <w:lvl w:ilvl="0" w:tplc="65A00A84">
      <w:start w:val="6"/>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82773FE"/>
    <w:multiLevelType w:val="hybridMultilevel"/>
    <w:tmpl w:val="06F077AA"/>
    <w:lvl w:ilvl="0" w:tplc="E926014C">
      <w:numFmt w:val="bullet"/>
      <w:lvlText w:val=""/>
      <w:lvlJc w:val="left"/>
      <w:pPr>
        <w:ind w:left="927" w:hanging="360"/>
      </w:pPr>
      <w:rPr>
        <w:rFonts w:ascii="Symbol" w:eastAsiaTheme="minorEastAsia" w:hAnsi="Symbol" w:cs="Times New Roman"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7">
    <w:nsid w:val="6B712FA7"/>
    <w:multiLevelType w:val="hybridMultilevel"/>
    <w:tmpl w:val="44409910"/>
    <w:lvl w:ilvl="0" w:tplc="9DDC7B64">
      <w:start w:val="1"/>
      <w:numFmt w:val="upperRoman"/>
      <w:lvlText w:val="%1."/>
      <w:lvlJc w:val="left"/>
      <w:pPr>
        <w:ind w:left="1080" w:hanging="720"/>
      </w:pPr>
      <w:rPr>
        <w:rFonts w:hint="default"/>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F5948"/>
    <w:rsid w:val="00000E44"/>
    <w:rsid w:val="00021131"/>
    <w:rsid w:val="000264B0"/>
    <w:rsid w:val="00027001"/>
    <w:rsid w:val="00037FE9"/>
    <w:rsid w:val="0007478C"/>
    <w:rsid w:val="0008217A"/>
    <w:rsid w:val="00090EFC"/>
    <w:rsid w:val="00094614"/>
    <w:rsid w:val="000A3EDF"/>
    <w:rsid w:val="000C3BDC"/>
    <w:rsid w:val="000E0B67"/>
    <w:rsid w:val="000E717C"/>
    <w:rsid w:val="0010077A"/>
    <w:rsid w:val="00102529"/>
    <w:rsid w:val="00110D01"/>
    <w:rsid w:val="00122A64"/>
    <w:rsid w:val="00140FD7"/>
    <w:rsid w:val="001420F2"/>
    <w:rsid w:val="00142376"/>
    <w:rsid w:val="0015268B"/>
    <w:rsid w:val="00160A47"/>
    <w:rsid w:val="00163FEF"/>
    <w:rsid w:val="001647C6"/>
    <w:rsid w:val="00174602"/>
    <w:rsid w:val="00177302"/>
    <w:rsid w:val="00181BD8"/>
    <w:rsid w:val="001A1066"/>
    <w:rsid w:val="001A571D"/>
    <w:rsid w:val="001B0475"/>
    <w:rsid w:val="001B5882"/>
    <w:rsid w:val="001B621E"/>
    <w:rsid w:val="001B6675"/>
    <w:rsid w:val="001C2734"/>
    <w:rsid w:val="001C5448"/>
    <w:rsid w:val="001D343E"/>
    <w:rsid w:val="001F3E17"/>
    <w:rsid w:val="001F466C"/>
    <w:rsid w:val="00215545"/>
    <w:rsid w:val="00221A64"/>
    <w:rsid w:val="00222C43"/>
    <w:rsid w:val="00223E8A"/>
    <w:rsid w:val="002520B0"/>
    <w:rsid w:val="00260DDF"/>
    <w:rsid w:val="00262602"/>
    <w:rsid w:val="00267DF6"/>
    <w:rsid w:val="00273868"/>
    <w:rsid w:val="002746F9"/>
    <w:rsid w:val="00276877"/>
    <w:rsid w:val="002820E0"/>
    <w:rsid w:val="00292E14"/>
    <w:rsid w:val="00293436"/>
    <w:rsid w:val="002A2287"/>
    <w:rsid w:val="002A4925"/>
    <w:rsid w:val="002B0D16"/>
    <w:rsid w:val="002B7E50"/>
    <w:rsid w:val="002C3656"/>
    <w:rsid w:val="002D057A"/>
    <w:rsid w:val="002D3761"/>
    <w:rsid w:val="002E65B9"/>
    <w:rsid w:val="002E6D58"/>
    <w:rsid w:val="002F0B23"/>
    <w:rsid w:val="002F0F61"/>
    <w:rsid w:val="002F67B2"/>
    <w:rsid w:val="002F7CB9"/>
    <w:rsid w:val="003165AA"/>
    <w:rsid w:val="003478DE"/>
    <w:rsid w:val="00377346"/>
    <w:rsid w:val="003938A4"/>
    <w:rsid w:val="00396987"/>
    <w:rsid w:val="003B544D"/>
    <w:rsid w:val="003E06BC"/>
    <w:rsid w:val="004025BA"/>
    <w:rsid w:val="004028A3"/>
    <w:rsid w:val="004279F4"/>
    <w:rsid w:val="00441466"/>
    <w:rsid w:val="004455CB"/>
    <w:rsid w:val="00452B23"/>
    <w:rsid w:val="00464999"/>
    <w:rsid w:val="004705DB"/>
    <w:rsid w:val="0047283C"/>
    <w:rsid w:val="004B2936"/>
    <w:rsid w:val="004C2A3B"/>
    <w:rsid w:val="004C61C9"/>
    <w:rsid w:val="004D04F5"/>
    <w:rsid w:val="004D5AAE"/>
    <w:rsid w:val="004E2AF7"/>
    <w:rsid w:val="004F38E4"/>
    <w:rsid w:val="004F6FC0"/>
    <w:rsid w:val="00506D9C"/>
    <w:rsid w:val="005109CD"/>
    <w:rsid w:val="00514326"/>
    <w:rsid w:val="00517226"/>
    <w:rsid w:val="00517C14"/>
    <w:rsid w:val="00536C32"/>
    <w:rsid w:val="00547802"/>
    <w:rsid w:val="0055653D"/>
    <w:rsid w:val="0056574E"/>
    <w:rsid w:val="00566A54"/>
    <w:rsid w:val="00571C50"/>
    <w:rsid w:val="00584D94"/>
    <w:rsid w:val="005A5C71"/>
    <w:rsid w:val="005B3A98"/>
    <w:rsid w:val="005B3E98"/>
    <w:rsid w:val="005B45B9"/>
    <w:rsid w:val="005C7CD5"/>
    <w:rsid w:val="005E4EFD"/>
    <w:rsid w:val="0060196F"/>
    <w:rsid w:val="0060255B"/>
    <w:rsid w:val="006118F7"/>
    <w:rsid w:val="00612282"/>
    <w:rsid w:val="00614A7E"/>
    <w:rsid w:val="00620944"/>
    <w:rsid w:val="00634682"/>
    <w:rsid w:val="00647D44"/>
    <w:rsid w:val="00654DA6"/>
    <w:rsid w:val="00657459"/>
    <w:rsid w:val="00666CD2"/>
    <w:rsid w:val="00684981"/>
    <w:rsid w:val="006A1B8C"/>
    <w:rsid w:val="006B3DA8"/>
    <w:rsid w:val="006D4F6F"/>
    <w:rsid w:val="006E4E8F"/>
    <w:rsid w:val="006F2C48"/>
    <w:rsid w:val="00722091"/>
    <w:rsid w:val="00730594"/>
    <w:rsid w:val="0073106A"/>
    <w:rsid w:val="00740301"/>
    <w:rsid w:val="00745F5A"/>
    <w:rsid w:val="00763118"/>
    <w:rsid w:val="00776BDC"/>
    <w:rsid w:val="00780D37"/>
    <w:rsid w:val="00782A1B"/>
    <w:rsid w:val="00785F7A"/>
    <w:rsid w:val="0079202D"/>
    <w:rsid w:val="007A7BE4"/>
    <w:rsid w:val="007C47DE"/>
    <w:rsid w:val="007D4790"/>
    <w:rsid w:val="007E024E"/>
    <w:rsid w:val="007E7D4D"/>
    <w:rsid w:val="00801C07"/>
    <w:rsid w:val="008178DF"/>
    <w:rsid w:val="008549FC"/>
    <w:rsid w:val="00870C47"/>
    <w:rsid w:val="0087209C"/>
    <w:rsid w:val="008A2B50"/>
    <w:rsid w:val="008E0AE9"/>
    <w:rsid w:val="008F25D4"/>
    <w:rsid w:val="009100AC"/>
    <w:rsid w:val="00915E04"/>
    <w:rsid w:val="00920664"/>
    <w:rsid w:val="00920E10"/>
    <w:rsid w:val="00921229"/>
    <w:rsid w:val="009343BA"/>
    <w:rsid w:val="00940931"/>
    <w:rsid w:val="00974418"/>
    <w:rsid w:val="00975C20"/>
    <w:rsid w:val="009819A7"/>
    <w:rsid w:val="009A4334"/>
    <w:rsid w:val="009C08FE"/>
    <w:rsid w:val="009D06E6"/>
    <w:rsid w:val="009D21E1"/>
    <w:rsid w:val="009D3FA0"/>
    <w:rsid w:val="009D5622"/>
    <w:rsid w:val="009D5FBC"/>
    <w:rsid w:val="00A14011"/>
    <w:rsid w:val="00A241D5"/>
    <w:rsid w:val="00A43B9E"/>
    <w:rsid w:val="00A45042"/>
    <w:rsid w:val="00A51BF4"/>
    <w:rsid w:val="00A57A7C"/>
    <w:rsid w:val="00A71DF7"/>
    <w:rsid w:val="00A72968"/>
    <w:rsid w:val="00A83CE3"/>
    <w:rsid w:val="00A879BB"/>
    <w:rsid w:val="00A92927"/>
    <w:rsid w:val="00AA35B4"/>
    <w:rsid w:val="00AA49D1"/>
    <w:rsid w:val="00AB7314"/>
    <w:rsid w:val="00AC0D7A"/>
    <w:rsid w:val="00AD6FFD"/>
    <w:rsid w:val="00AF5948"/>
    <w:rsid w:val="00B023EE"/>
    <w:rsid w:val="00B02F19"/>
    <w:rsid w:val="00B160C8"/>
    <w:rsid w:val="00B332C0"/>
    <w:rsid w:val="00B407D8"/>
    <w:rsid w:val="00B547D5"/>
    <w:rsid w:val="00B733D9"/>
    <w:rsid w:val="00B81348"/>
    <w:rsid w:val="00BB3066"/>
    <w:rsid w:val="00BC2A80"/>
    <w:rsid w:val="00BD7D6A"/>
    <w:rsid w:val="00BF60B0"/>
    <w:rsid w:val="00C02C35"/>
    <w:rsid w:val="00C14164"/>
    <w:rsid w:val="00C1563F"/>
    <w:rsid w:val="00C23D79"/>
    <w:rsid w:val="00C53E72"/>
    <w:rsid w:val="00C630B8"/>
    <w:rsid w:val="00C6689C"/>
    <w:rsid w:val="00C751F5"/>
    <w:rsid w:val="00C8506D"/>
    <w:rsid w:val="00CA3DB6"/>
    <w:rsid w:val="00CB33AA"/>
    <w:rsid w:val="00CC02AA"/>
    <w:rsid w:val="00CD6FF5"/>
    <w:rsid w:val="00CE05FE"/>
    <w:rsid w:val="00CE22DB"/>
    <w:rsid w:val="00CE2D82"/>
    <w:rsid w:val="00CE3D60"/>
    <w:rsid w:val="00CE4080"/>
    <w:rsid w:val="00CF101D"/>
    <w:rsid w:val="00D12418"/>
    <w:rsid w:val="00D23906"/>
    <w:rsid w:val="00D23FE9"/>
    <w:rsid w:val="00D31F8D"/>
    <w:rsid w:val="00D460F1"/>
    <w:rsid w:val="00D6006C"/>
    <w:rsid w:val="00D64C69"/>
    <w:rsid w:val="00D658C3"/>
    <w:rsid w:val="00D831F7"/>
    <w:rsid w:val="00D95AED"/>
    <w:rsid w:val="00DA0435"/>
    <w:rsid w:val="00DA0D16"/>
    <w:rsid w:val="00DB3A80"/>
    <w:rsid w:val="00DB7A10"/>
    <w:rsid w:val="00DC5F00"/>
    <w:rsid w:val="00DD49EB"/>
    <w:rsid w:val="00DE25B0"/>
    <w:rsid w:val="00E005F6"/>
    <w:rsid w:val="00E01D80"/>
    <w:rsid w:val="00E07AD8"/>
    <w:rsid w:val="00E11B28"/>
    <w:rsid w:val="00E230D6"/>
    <w:rsid w:val="00E27361"/>
    <w:rsid w:val="00E2741F"/>
    <w:rsid w:val="00E42F6E"/>
    <w:rsid w:val="00E53BF5"/>
    <w:rsid w:val="00E76921"/>
    <w:rsid w:val="00E85337"/>
    <w:rsid w:val="00E948D9"/>
    <w:rsid w:val="00EB34C8"/>
    <w:rsid w:val="00EC1212"/>
    <w:rsid w:val="00ED2E59"/>
    <w:rsid w:val="00EE1BC8"/>
    <w:rsid w:val="00F01305"/>
    <w:rsid w:val="00F019D0"/>
    <w:rsid w:val="00F05691"/>
    <w:rsid w:val="00F152F8"/>
    <w:rsid w:val="00F518CD"/>
    <w:rsid w:val="00F60CAC"/>
    <w:rsid w:val="00F649BC"/>
    <w:rsid w:val="00F72B3D"/>
    <w:rsid w:val="00F7746A"/>
    <w:rsid w:val="00F82F7F"/>
    <w:rsid w:val="00F941C8"/>
    <w:rsid w:val="00F94B1A"/>
    <w:rsid w:val="00FB4D58"/>
    <w:rsid w:val="00FB6597"/>
    <w:rsid w:val="00FF6D3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D5"/>
    <w:pPr>
      <w:spacing w:after="200" w:line="276" w:lineRule="auto"/>
    </w:pPr>
    <w:rPr>
      <w:rFonts w:eastAsiaTheme="minorEastAsia"/>
      <w:lang w:val="en-US"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2F0F61"/>
  </w:style>
  <w:style w:type="paragraph" w:styleId="Textodenotaderodap">
    <w:name w:val="footnote text"/>
    <w:basedOn w:val="Normal"/>
    <w:link w:val="TextodenotaderodapCarcter"/>
    <w:uiPriority w:val="99"/>
    <w:unhideWhenUsed/>
    <w:rsid w:val="0087209C"/>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87209C"/>
    <w:rPr>
      <w:rFonts w:eastAsiaTheme="minorEastAsia"/>
      <w:sz w:val="20"/>
      <w:szCs w:val="20"/>
      <w:lang w:val="en-GB" w:eastAsia="pt-PT"/>
    </w:rPr>
  </w:style>
  <w:style w:type="character" w:styleId="Refdenotaderodap">
    <w:name w:val="footnote reference"/>
    <w:basedOn w:val="Tipodeletrapredefinidodopargrafo"/>
    <w:uiPriority w:val="99"/>
    <w:unhideWhenUsed/>
    <w:rsid w:val="0087209C"/>
    <w:rPr>
      <w:vertAlign w:val="superscript"/>
    </w:rPr>
  </w:style>
  <w:style w:type="character" w:customStyle="1" w:styleId="CabealhoCarcter">
    <w:name w:val="Cabeçalho Carácter"/>
    <w:basedOn w:val="Tipodeletrapredefinidodopargrafo"/>
    <w:link w:val="Cabealho"/>
    <w:uiPriority w:val="99"/>
    <w:rsid w:val="0087209C"/>
    <w:rPr>
      <w:rFonts w:eastAsiaTheme="minorEastAsia"/>
      <w:lang w:val="en-GB" w:eastAsia="pt-PT"/>
    </w:rPr>
  </w:style>
  <w:style w:type="paragraph" w:styleId="Cabealho">
    <w:name w:val="header"/>
    <w:basedOn w:val="Normal"/>
    <w:link w:val="CabealhoCarcter"/>
    <w:uiPriority w:val="99"/>
    <w:unhideWhenUsed/>
    <w:rsid w:val="0087209C"/>
    <w:pPr>
      <w:tabs>
        <w:tab w:val="center" w:pos="4252"/>
        <w:tab w:val="right" w:pos="8504"/>
      </w:tabs>
      <w:spacing w:after="0" w:line="240" w:lineRule="auto"/>
    </w:pPr>
  </w:style>
  <w:style w:type="paragraph" w:styleId="Rodap">
    <w:name w:val="footer"/>
    <w:basedOn w:val="Normal"/>
    <w:link w:val="RodapCarcter"/>
    <w:uiPriority w:val="99"/>
    <w:unhideWhenUsed/>
    <w:rsid w:val="0087209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209C"/>
    <w:rPr>
      <w:rFonts w:eastAsiaTheme="minorEastAsia"/>
      <w:lang w:val="en-GB" w:eastAsia="pt-PT"/>
    </w:rPr>
  </w:style>
  <w:style w:type="paragraph" w:styleId="PargrafodaLista">
    <w:name w:val="List Paragraph"/>
    <w:basedOn w:val="Normal"/>
    <w:uiPriority w:val="34"/>
    <w:qFormat/>
    <w:rsid w:val="0087209C"/>
    <w:pPr>
      <w:ind w:left="720"/>
      <w:contextualSpacing/>
    </w:pPr>
    <w:rPr>
      <w:rFonts w:eastAsiaTheme="minorHAnsi"/>
      <w:lang w:eastAsia="en-US"/>
    </w:rPr>
  </w:style>
  <w:style w:type="character" w:customStyle="1" w:styleId="TextodebaloCarcter">
    <w:name w:val="Texto de balão Carácter"/>
    <w:basedOn w:val="Tipodeletrapredefinidodopargrafo"/>
    <w:link w:val="Textodebalo"/>
    <w:uiPriority w:val="99"/>
    <w:semiHidden/>
    <w:rsid w:val="0087209C"/>
    <w:rPr>
      <w:rFonts w:ascii="Tahoma" w:eastAsiaTheme="minorEastAsia" w:hAnsi="Tahoma" w:cs="Tahoma"/>
      <w:sz w:val="16"/>
      <w:szCs w:val="16"/>
      <w:lang w:val="en-GB" w:eastAsia="pt-PT"/>
    </w:rPr>
  </w:style>
  <w:style w:type="paragraph" w:styleId="Textodebalo">
    <w:name w:val="Balloon Text"/>
    <w:basedOn w:val="Normal"/>
    <w:link w:val="TextodebaloCarcter"/>
    <w:uiPriority w:val="99"/>
    <w:semiHidden/>
    <w:unhideWhenUsed/>
    <w:rsid w:val="0087209C"/>
    <w:pPr>
      <w:spacing w:after="0" w:line="240" w:lineRule="auto"/>
    </w:pPr>
    <w:rPr>
      <w:rFonts w:ascii="Tahoma" w:hAnsi="Tahoma" w:cs="Tahoma"/>
      <w:sz w:val="16"/>
      <w:szCs w:val="16"/>
    </w:rPr>
  </w:style>
  <w:style w:type="character" w:styleId="Hiperligao">
    <w:name w:val="Hyperlink"/>
    <w:basedOn w:val="Tipodeletrapredefinidodopargrafo"/>
    <w:uiPriority w:val="99"/>
    <w:unhideWhenUsed/>
    <w:rsid w:val="0087209C"/>
    <w:rPr>
      <w:color w:val="0563C1" w:themeColor="hyperlink"/>
      <w:u w:val="single"/>
    </w:rPr>
  </w:style>
  <w:style w:type="table" w:styleId="Tabelacomgrelha">
    <w:name w:val="Table Grid"/>
    <w:basedOn w:val="Tabelanormal"/>
    <w:uiPriority w:val="39"/>
    <w:rsid w:val="00872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comentrioCarcter">
    <w:name w:val="Texto de comentário Carácter"/>
    <w:basedOn w:val="Tipodeletrapredefinidodopargrafo"/>
    <w:link w:val="Textodecomentrio"/>
    <w:uiPriority w:val="99"/>
    <w:semiHidden/>
    <w:rsid w:val="0087209C"/>
    <w:rPr>
      <w:sz w:val="20"/>
      <w:szCs w:val="20"/>
    </w:rPr>
  </w:style>
  <w:style w:type="paragraph" w:styleId="Textodecomentrio">
    <w:name w:val="annotation text"/>
    <w:basedOn w:val="Normal"/>
    <w:link w:val="TextodecomentrioCarcter"/>
    <w:uiPriority w:val="99"/>
    <w:semiHidden/>
    <w:unhideWhenUsed/>
    <w:rsid w:val="0087209C"/>
    <w:pPr>
      <w:spacing w:after="160" w:line="240" w:lineRule="auto"/>
    </w:pPr>
    <w:rPr>
      <w:rFonts w:eastAsiaTheme="minorHAnsi"/>
      <w:sz w:val="20"/>
      <w:szCs w:val="20"/>
      <w:lang w:val="pt-PT" w:eastAsia="en-US"/>
    </w:rPr>
  </w:style>
  <w:style w:type="character" w:customStyle="1" w:styleId="AssuntodecomentrioCarcter">
    <w:name w:val="Assunto de comentário Carácter"/>
    <w:basedOn w:val="TextodecomentrioCarcter"/>
    <w:link w:val="Assuntodecomentrio"/>
    <w:uiPriority w:val="99"/>
    <w:semiHidden/>
    <w:rsid w:val="0087209C"/>
    <w:rPr>
      <w:b/>
      <w:bCs/>
      <w:sz w:val="20"/>
      <w:szCs w:val="20"/>
    </w:rPr>
  </w:style>
  <w:style w:type="paragraph" w:styleId="Assuntodecomentrio">
    <w:name w:val="annotation subject"/>
    <w:basedOn w:val="Textodecomentrio"/>
    <w:next w:val="Textodecomentrio"/>
    <w:link w:val="AssuntodecomentrioCarcter"/>
    <w:uiPriority w:val="99"/>
    <w:semiHidden/>
    <w:unhideWhenUsed/>
    <w:rsid w:val="0087209C"/>
    <w:rPr>
      <w:b/>
      <w:bCs/>
    </w:rPr>
  </w:style>
  <w:style w:type="character" w:styleId="TextodoMarcadordePosio">
    <w:name w:val="Placeholder Text"/>
    <w:basedOn w:val="Tipodeletrapredefinidodopargrafo"/>
    <w:uiPriority w:val="99"/>
    <w:semiHidden/>
    <w:rsid w:val="0056574E"/>
    <w:rPr>
      <w:color w:val="808080"/>
    </w:rPr>
  </w:style>
  <w:style w:type="character" w:customStyle="1" w:styleId="shorttext">
    <w:name w:val="short_text"/>
    <w:basedOn w:val="Tipodeletrapredefinidodopargrafo"/>
    <w:rsid w:val="00D31F8D"/>
  </w:style>
  <w:style w:type="character" w:customStyle="1" w:styleId="longtext">
    <w:name w:val="long_text"/>
    <w:basedOn w:val="Tipodeletrapredefinidodopargrafo"/>
    <w:rsid w:val="00D31F8D"/>
  </w:style>
</w:styles>
</file>

<file path=word/webSettings.xml><?xml version="1.0" encoding="utf-8"?>
<w:webSettings xmlns:r="http://schemas.openxmlformats.org/officeDocument/2006/relationships" xmlns:w="http://schemas.openxmlformats.org/wordprocessingml/2006/main">
  <w:divs>
    <w:div w:id="30039171">
      <w:bodyDiv w:val="1"/>
      <w:marLeft w:val="0"/>
      <w:marRight w:val="0"/>
      <w:marTop w:val="0"/>
      <w:marBottom w:val="0"/>
      <w:divBdr>
        <w:top w:val="none" w:sz="0" w:space="0" w:color="auto"/>
        <w:left w:val="none" w:sz="0" w:space="0" w:color="auto"/>
        <w:bottom w:val="none" w:sz="0" w:space="0" w:color="auto"/>
        <w:right w:val="none" w:sz="0" w:space="0" w:color="auto"/>
      </w:divBdr>
    </w:div>
    <w:div w:id="66415892">
      <w:bodyDiv w:val="1"/>
      <w:marLeft w:val="0"/>
      <w:marRight w:val="0"/>
      <w:marTop w:val="0"/>
      <w:marBottom w:val="0"/>
      <w:divBdr>
        <w:top w:val="none" w:sz="0" w:space="0" w:color="auto"/>
        <w:left w:val="none" w:sz="0" w:space="0" w:color="auto"/>
        <w:bottom w:val="none" w:sz="0" w:space="0" w:color="auto"/>
        <w:right w:val="none" w:sz="0" w:space="0" w:color="auto"/>
      </w:divBdr>
    </w:div>
    <w:div w:id="141626969">
      <w:bodyDiv w:val="1"/>
      <w:marLeft w:val="0"/>
      <w:marRight w:val="0"/>
      <w:marTop w:val="0"/>
      <w:marBottom w:val="0"/>
      <w:divBdr>
        <w:top w:val="none" w:sz="0" w:space="0" w:color="auto"/>
        <w:left w:val="none" w:sz="0" w:space="0" w:color="auto"/>
        <w:bottom w:val="none" w:sz="0" w:space="0" w:color="auto"/>
        <w:right w:val="none" w:sz="0" w:space="0" w:color="auto"/>
      </w:divBdr>
    </w:div>
    <w:div w:id="188028965">
      <w:bodyDiv w:val="1"/>
      <w:marLeft w:val="0"/>
      <w:marRight w:val="0"/>
      <w:marTop w:val="0"/>
      <w:marBottom w:val="0"/>
      <w:divBdr>
        <w:top w:val="none" w:sz="0" w:space="0" w:color="auto"/>
        <w:left w:val="none" w:sz="0" w:space="0" w:color="auto"/>
        <w:bottom w:val="none" w:sz="0" w:space="0" w:color="auto"/>
        <w:right w:val="none" w:sz="0" w:space="0" w:color="auto"/>
      </w:divBdr>
    </w:div>
    <w:div w:id="216279183">
      <w:bodyDiv w:val="1"/>
      <w:marLeft w:val="0"/>
      <w:marRight w:val="0"/>
      <w:marTop w:val="0"/>
      <w:marBottom w:val="0"/>
      <w:divBdr>
        <w:top w:val="none" w:sz="0" w:space="0" w:color="auto"/>
        <w:left w:val="none" w:sz="0" w:space="0" w:color="auto"/>
        <w:bottom w:val="none" w:sz="0" w:space="0" w:color="auto"/>
        <w:right w:val="none" w:sz="0" w:space="0" w:color="auto"/>
      </w:divBdr>
    </w:div>
    <w:div w:id="228424206">
      <w:bodyDiv w:val="1"/>
      <w:marLeft w:val="0"/>
      <w:marRight w:val="0"/>
      <w:marTop w:val="0"/>
      <w:marBottom w:val="0"/>
      <w:divBdr>
        <w:top w:val="none" w:sz="0" w:space="0" w:color="auto"/>
        <w:left w:val="none" w:sz="0" w:space="0" w:color="auto"/>
        <w:bottom w:val="none" w:sz="0" w:space="0" w:color="auto"/>
        <w:right w:val="none" w:sz="0" w:space="0" w:color="auto"/>
      </w:divBdr>
    </w:div>
    <w:div w:id="241574936">
      <w:bodyDiv w:val="1"/>
      <w:marLeft w:val="0"/>
      <w:marRight w:val="0"/>
      <w:marTop w:val="0"/>
      <w:marBottom w:val="0"/>
      <w:divBdr>
        <w:top w:val="none" w:sz="0" w:space="0" w:color="auto"/>
        <w:left w:val="none" w:sz="0" w:space="0" w:color="auto"/>
        <w:bottom w:val="none" w:sz="0" w:space="0" w:color="auto"/>
        <w:right w:val="none" w:sz="0" w:space="0" w:color="auto"/>
      </w:divBdr>
    </w:div>
    <w:div w:id="271671101">
      <w:bodyDiv w:val="1"/>
      <w:marLeft w:val="0"/>
      <w:marRight w:val="0"/>
      <w:marTop w:val="0"/>
      <w:marBottom w:val="0"/>
      <w:divBdr>
        <w:top w:val="none" w:sz="0" w:space="0" w:color="auto"/>
        <w:left w:val="none" w:sz="0" w:space="0" w:color="auto"/>
        <w:bottom w:val="none" w:sz="0" w:space="0" w:color="auto"/>
        <w:right w:val="none" w:sz="0" w:space="0" w:color="auto"/>
      </w:divBdr>
    </w:div>
    <w:div w:id="283853039">
      <w:bodyDiv w:val="1"/>
      <w:marLeft w:val="0"/>
      <w:marRight w:val="0"/>
      <w:marTop w:val="0"/>
      <w:marBottom w:val="0"/>
      <w:divBdr>
        <w:top w:val="none" w:sz="0" w:space="0" w:color="auto"/>
        <w:left w:val="none" w:sz="0" w:space="0" w:color="auto"/>
        <w:bottom w:val="none" w:sz="0" w:space="0" w:color="auto"/>
        <w:right w:val="none" w:sz="0" w:space="0" w:color="auto"/>
      </w:divBdr>
    </w:div>
    <w:div w:id="350495327">
      <w:bodyDiv w:val="1"/>
      <w:marLeft w:val="0"/>
      <w:marRight w:val="0"/>
      <w:marTop w:val="0"/>
      <w:marBottom w:val="0"/>
      <w:divBdr>
        <w:top w:val="none" w:sz="0" w:space="0" w:color="auto"/>
        <w:left w:val="none" w:sz="0" w:space="0" w:color="auto"/>
        <w:bottom w:val="none" w:sz="0" w:space="0" w:color="auto"/>
        <w:right w:val="none" w:sz="0" w:space="0" w:color="auto"/>
      </w:divBdr>
    </w:div>
    <w:div w:id="357002774">
      <w:bodyDiv w:val="1"/>
      <w:marLeft w:val="0"/>
      <w:marRight w:val="0"/>
      <w:marTop w:val="0"/>
      <w:marBottom w:val="0"/>
      <w:divBdr>
        <w:top w:val="none" w:sz="0" w:space="0" w:color="auto"/>
        <w:left w:val="none" w:sz="0" w:space="0" w:color="auto"/>
        <w:bottom w:val="none" w:sz="0" w:space="0" w:color="auto"/>
        <w:right w:val="none" w:sz="0" w:space="0" w:color="auto"/>
      </w:divBdr>
    </w:div>
    <w:div w:id="366375755">
      <w:bodyDiv w:val="1"/>
      <w:marLeft w:val="0"/>
      <w:marRight w:val="0"/>
      <w:marTop w:val="0"/>
      <w:marBottom w:val="0"/>
      <w:divBdr>
        <w:top w:val="none" w:sz="0" w:space="0" w:color="auto"/>
        <w:left w:val="none" w:sz="0" w:space="0" w:color="auto"/>
        <w:bottom w:val="none" w:sz="0" w:space="0" w:color="auto"/>
        <w:right w:val="none" w:sz="0" w:space="0" w:color="auto"/>
      </w:divBdr>
    </w:div>
    <w:div w:id="366836155">
      <w:bodyDiv w:val="1"/>
      <w:marLeft w:val="0"/>
      <w:marRight w:val="0"/>
      <w:marTop w:val="0"/>
      <w:marBottom w:val="0"/>
      <w:divBdr>
        <w:top w:val="none" w:sz="0" w:space="0" w:color="auto"/>
        <w:left w:val="none" w:sz="0" w:space="0" w:color="auto"/>
        <w:bottom w:val="none" w:sz="0" w:space="0" w:color="auto"/>
        <w:right w:val="none" w:sz="0" w:space="0" w:color="auto"/>
      </w:divBdr>
    </w:div>
    <w:div w:id="375738428">
      <w:bodyDiv w:val="1"/>
      <w:marLeft w:val="0"/>
      <w:marRight w:val="0"/>
      <w:marTop w:val="0"/>
      <w:marBottom w:val="0"/>
      <w:divBdr>
        <w:top w:val="none" w:sz="0" w:space="0" w:color="auto"/>
        <w:left w:val="none" w:sz="0" w:space="0" w:color="auto"/>
        <w:bottom w:val="none" w:sz="0" w:space="0" w:color="auto"/>
        <w:right w:val="none" w:sz="0" w:space="0" w:color="auto"/>
      </w:divBdr>
    </w:div>
    <w:div w:id="394940681">
      <w:bodyDiv w:val="1"/>
      <w:marLeft w:val="0"/>
      <w:marRight w:val="0"/>
      <w:marTop w:val="0"/>
      <w:marBottom w:val="0"/>
      <w:divBdr>
        <w:top w:val="none" w:sz="0" w:space="0" w:color="auto"/>
        <w:left w:val="none" w:sz="0" w:space="0" w:color="auto"/>
        <w:bottom w:val="none" w:sz="0" w:space="0" w:color="auto"/>
        <w:right w:val="none" w:sz="0" w:space="0" w:color="auto"/>
      </w:divBdr>
    </w:div>
    <w:div w:id="396438292">
      <w:bodyDiv w:val="1"/>
      <w:marLeft w:val="0"/>
      <w:marRight w:val="0"/>
      <w:marTop w:val="0"/>
      <w:marBottom w:val="0"/>
      <w:divBdr>
        <w:top w:val="none" w:sz="0" w:space="0" w:color="auto"/>
        <w:left w:val="none" w:sz="0" w:space="0" w:color="auto"/>
        <w:bottom w:val="none" w:sz="0" w:space="0" w:color="auto"/>
        <w:right w:val="none" w:sz="0" w:space="0" w:color="auto"/>
      </w:divBdr>
    </w:div>
    <w:div w:id="552078078">
      <w:bodyDiv w:val="1"/>
      <w:marLeft w:val="0"/>
      <w:marRight w:val="0"/>
      <w:marTop w:val="0"/>
      <w:marBottom w:val="0"/>
      <w:divBdr>
        <w:top w:val="none" w:sz="0" w:space="0" w:color="auto"/>
        <w:left w:val="none" w:sz="0" w:space="0" w:color="auto"/>
        <w:bottom w:val="none" w:sz="0" w:space="0" w:color="auto"/>
        <w:right w:val="none" w:sz="0" w:space="0" w:color="auto"/>
      </w:divBdr>
    </w:div>
    <w:div w:id="561253425">
      <w:bodyDiv w:val="1"/>
      <w:marLeft w:val="0"/>
      <w:marRight w:val="0"/>
      <w:marTop w:val="0"/>
      <w:marBottom w:val="0"/>
      <w:divBdr>
        <w:top w:val="none" w:sz="0" w:space="0" w:color="auto"/>
        <w:left w:val="none" w:sz="0" w:space="0" w:color="auto"/>
        <w:bottom w:val="none" w:sz="0" w:space="0" w:color="auto"/>
        <w:right w:val="none" w:sz="0" w:space="0" w:color="auto"/>
      </w:divBdr>
    </w:div>
    <w:div w:id="693457026">
      <w:bodyDiv w:val="1"/>
      <w:marLeft w:val="0"/>
      <w:marRight w:val="0"/>
      <w:marTop w:val="0"/>
      <w:marBottom w:val="0"/>
      <w:divBdr>
        <w:top w:val="none" w:sz="0" w:space="0" w:color="auto"/>
        <w:left w:val="none" w:sz="0" w:space="0" w:color="auto"/>
        <w:bottom w:val="none" w:sz="0" w:space="0" w:color="auto"/>
        <w:right w:val="none" w:sz="0" w:space="0" w:color="auto"/>
      </w:divBdr>
    </w:div>
    <w:div w:id="815340924">
      <w:bodyDiv w:val="1"/>
      <w:marLeft w:val="0"/>
      <w:marRight w:val="0"/>
      <w:marTop w:val="0"/>
      <w:marBottom w:val="0"/>
      <w:divBdr>
        <w:top w:val="none" w:sz="0" w:space="0" w:color="auto"/>
        <w:left w:val="none" w:sz="0" w:space="0" w:color="auto"/>
        <w:bottom w:val="none" w:sz="0" w:space="0" w:color="auto"/>
        <w:right w:val="none" w:sz="0" w:space="0" w:color="auto"/>
      </w:divBdr>
    </w:div>
    <w:div w:id="881135848">
      <w:bodyDiv w:val="1"/>
      <w:marLeft w:val="0"/>
      <w:marRight w:val="0"/>
      <w:marTop w:val="0"/>
      <w:marBottom w:val="0"/>
      <w:divBdr>
        <w:top w:val="none" w:sz="0" w:space="0" w:color="auto"/>
        <w:left w:val="none" w:sz="0" w:space="0" w:color="auto"/>
        <w:bottom w:val="none" w:sz="0" w:space="0" w:color="auto"/>
        <w:right w:val="none" w:sz="0" w:space="0" w:color="auto"/>
      </w:divBdr>
    </w:div>
    <w:div w:id="1030913007">
      <w:bodyDiv w:val="1"/>
      <w:marLeft w:val="0"/>
      <w:marRight w:val="0"/>
      <w:marTop w:val="0"/>
      <w:marBottom w:val="0"/>
      <w:divBdr>
        <w:top w:val="none" w:sz="0" w:space="0" w:color="auto"/>
        <w:left w:val="none" w:sz="0" w:space="0" w:color="auto"/>
        <w:bottom w:val="none" w:sz="0" w:space="0" w:color="auto"/>
        <w:right w:val="none" w:sz="0" w:space="0" w:color="auto"/>
      </w:divBdr>
    </w:div>
    <w:div w:id="1038819773">
      <w:bodyDiv w:val="1"/>
      <w:marLeft w:val="0"/>
      <w:marRight w:val="0"/>
      <w:marTop w:val="0"/>
      <w:marBottom w:val="0"/>
      <w:divBdr>
        <w:top w:val="none" w:sz="0" w:space="0" w:color="auto"/>
        <w:left w:val="none" w:sz="0" w:space="0" w:color="auto"/>
        <w:bottom w:val="none" w:sz="0" w:space="0" w:color="auto"/>
        <w:right w:val="none" w:sz="0" w:space="0" w:color="auto"/>
      </w:divBdr>
    </w:div>
    <w:div w:id="1104107528">
      <w:bodyDiv w:val="1"/>
      <w:marLeft w:val="0"/>
      <w:marRight w:val="0"/>
      <w:marTop w:val="0"/>
      <w:marBottom w:val="0"/>
      <w:divBdr>
        <w:top w:val="none" w:sz="0" w:space="0" w:color="auto"/>
        <w:left w:val="none" w:sz="0" w:space="0" w:color="auto"/>
        <w:bottom w:val="none" w:sz="0" w:space="0" w:color="auto"/>
        <w:right w:val="none" w:sz="0" w:space="0" w:color="auto"/>
      </w:divBdr>
    </w:div>
    <w:div w:id="1112630215">
      <w:bodyDiv w:val="1"/>
      <w:marLeft w:val="0"/>
      <w:marRight w:val="0"/>
      <w:marTop w:val="0"/>
      <w:marBottom w:val="0"/>
      <w:divBdr>
        <w:top w:val="none" w:sz="0" w:space="0" w:color="auto"/>
        <w:left w:val="none" w:sz="0" w:space="0" w:color="auto"/>
        <w:bottom w:val="none" w:sz="0" w:space="0" w:color="auto"/>
        <w:right w:val="none" w:sz="0" w:space="0" w:color="auto"/>
      </w:divBdr>
    </w:div>
    <w:div w:id="1139691337">
      <w:bodyDiv w:val="1"/>
      <w:marLeft w:val="0"/>
      <w:marRight w:val="0"/>
      <w:marTop w:val="0"/>
      <w:marBottom w:val="0"/>
      <w:divBdr>
        <w:top w:val="none" w:sz="0" w:space="0" w:color="auto"/>
        <w:left w:val="none" w:sz="0" w:space="0" w:color="auto"/>
        <w:bottom w:val="none" w:sz="0" w:space="0" w:color="auto"/>
        <w:right w:val="none" w:sz="0" w:space="0" w:color="auto"/>
      </w:divBdr>
    </w:div>
    <w:div w:id="1153834619">
      <w:bodyDiv w:val="1"/>
      <w:marLeft w:val="0"/>
      <w:marRight w:val="0"/>
      <w:marTop w:val="0"/>
      <w:marBottom w:val="0"/>
      <w:divBdr>
        <w:top w:val="none" w:sz="0" w:space="0" w:color="auto"/>
        <w:left w:val="none" w:sz="0" w:space="0" w:color="auto"/>
        <w:bottom w:val="none" w:sz="0" w:space="0" w:color="auto"/>
        <w:right w:val="none" w:sz="0" w:space="0" w:color="auto"/>
      </w:divBdr>
    </w:div>
    <w:div w:id="1338849078">
      <w:bodyDiv w:val="1"/>
      <w:marLeft w:val="0"/>
      <w:marRight w:val="0"/>
      <w:marTop w:val="0"/>
      <w:marBottom w:val="0"/>
      <w:divBdr>
        <w:top w:val="none" w:sz="0" w:space="0" w:color="auto"/>
        <w:left w:val="none" w:sz="0" w:space="0" w:color="auto"/>
        <w:bottom w:val="none" w:sz="0" w:space="0" w:color="auto"/>
        <w:right w:val="none" w:sz="0" w:space="0" w:color="auto"/>
      </w:divBdr>
    </w:div>
    <w:div w:id="1378509231">
      <w:bodyDiv w:val="1"/>
      <w:marLeft w:val="0"/>
      <w:marRight w:val="0"/>
      <w:marTop w:val="0"/>
      <w:marBottom w:val="0"/>
      <w:divBdr>
        <w:top w:val="none" w:sz="0" w:space="0" w:color="auto"/>
        <w:left w:val="none" w:sz="0" w:space="0" w:color="auto"/>
        <w:bottom w:val="none" w:sz="0" w:space="0" w:color="auto"/>
        <w:right w:val="none" w:sz="0" w:space="0" w:color="auto"/>
      </w:divBdr>
    </w:div>
    <w:div w:id="1440029505">
      <w:bodyDiv w:val="1"/>
      <w:marLeft w:val="0"/>
      <w:marRight w:val="0"/>
      <w:marTop w:val="0"/>
      <w:marBottom w:val="0"/>
      <w:divBdr>
        <w:top w:val="none" w:sz="0" w:space="0" w:color="auto"/>
        <w:left w:val="none" w:sz="0" w:space="0" w:color="auto"/>
        <w:bottom w:val="none" w:sz="0" w:space="0" w:color="auto"/>
        <w:right w:val="none" w:sz="0" w:space="0" w:color="auto"/>
      </w:divBdr>
    </w:div>
    <w:div w:id="1456874101">
      <w:bodyDiv w:val="1"/>
      <w:marLeft w:val="0"/>
      <w:marRight w:val="0"/>
      <w:marTop w:val="0"/>
      <w:marBottom w:val="0"/>
      <w:divBdr>
        <w:top w:val="none" w:sz="0" w:space="0" w:color="auto"/>
        <w:left w:val="none" w:sz="0" w:space="0" w:color="auto"/>
        <w:bottom w:val="none" w:sz="0" w:space="0" w:color="auto"/>
        <w:right w:val="none" w:sz="0" w:space="0" w:color="auto"/>
      </w:divBdr>
    </w:div>
    <w:div w:id="1580676588">
      <w:bodyDiv w:val="1"/>
      <w:marLeft w:val="0"/>
      <w:marRight w:val="0"/>
      <w:marTop w:val="0"/>
      <w:marBottom w:val="0"/>
      <w:divBdr>
        <w:top w:val="none" w:sz="0" w:space="0" w:color="auto"/>
        <w:left w:val="none" w:sz="0" w:space="0" w:color="auto"/>
        <w:bottom w:val="none" w:sz="0" w:space="0" w:color="auto"/>
        <w:right w:val="none" w:sz="0" w:space="0" w:color="auto"/>
      </w:divBdr>
    </w:div>
    <w:div w:id="1655135324">
      <w:bodyDiv w:val="1"/>
      <w:marLeft w:val="0"/>
      <w:marRight w:val="0"/>
      <w:marTop w:val="0"/>
      <w:marBottom w:val="0"/>
      <w:divBdr>
        <w:top w:val="none" w:sz="0" w:space="0" w:color="auto"/>
        <w:left w:val="none" w:sz="0" w:space="0" w:color="auto"/>
        <w:bottom w:val="none" w:sz="0" w:space="0" w:color="auto"/>
        <w:right w:val="none" w:sz="0" w:space="0" w:color="auto"/>
      </w:divBdr>
    </w:div>
    <w:div w:id="1745376780">
      <w:bodyDiv w:val="1"/>
      <w:marLeft w:val="0"/>
      <w:marRight w:val="0"/>
      <w:marTop w:val="0"/>
      <w:marBottom w:val="0"/>
      <w:divBdr>
        <w:top w:val="none" w:sz="0" w:space="0" w:color="auto"/>
        <w:left w:val="none" w:sz="0" w:space="0" w:color="auto"/>
        <w:bottom w:val="none" w:sz="0" w:space="0" w:color="auto"/>
        <w:right w:val="none" w:sz="0" w:space="0" w:color="auto"/>
      </w:divBdr>
    </w:div>
    <w:div w:id="1746956016">
      <w:bodyDiv w:val="1"/>
      <w:marLeft w:val="0"/>
      <w:marRight w:val="0"/>
      <w:marTop w:val="0"/>
      <w:marBottom w:val="0"/>
      <w:divBdr>
        <w:top w:val="none" w:sz="0" w:space="0" w:color="auto"/>
        <w:left w:val="none" w:sz="0" w:space="0" w:color="auto"/>
        <w:bottom w:val="none" w:sz="0" w:space="0" w:color="auto"/>
        <w:right w:val="none" w:sz="0" w:space="0" w:color="auto"/>
      </w:divBdr>
    </w:div>
    <w:div w:id="1802729670">
      <w:bodyDiv w:val="1"/>
      <w:marLeft w:val="0"/>
      <w:marRight w:val="0"/>
      <w:marTop w:val="0"/>
      <w:marBottom w:val="0"/>
      <w:divBdr>
        <w:top w:val="none" w:sz="0" w:space="0" w:color="auto"/>
        <w:left w:val="none" w:sz="0" w:space="0" w:color="auto"/>
        <w:bottom w:val="none" w:sz="0" w:space="0" w:color="auto"/>
        <w:right w:val="none" w:sz="0" w:space="0" w:color="auto"/>
      </w:divBdr>
    </w:div>
    <w:div w:id="1808468032">
      <w:bodyDiv w:val="1"/>
      <w:marLeft w:val="0"/>
      <w:marRight w:val="0"/>
      <w:marTop w:val="0"/>
      <w:marBottom w:val="0"/>
      <w:divBdr>
        <w:top w:val="none" w:sz="0" w:space="0" w:color="auto"/>
        <w:left w:val="none" w:sz="0" w:space="0" w:color="auto"/>
        <w:bottom w:val="none" w:sz="0" w:space="0" w:color="auto"/>
        <w:right w:val="none" w:sz="0" w:space="0" w:color="auto"/>
      </w:divBdr>
    </w:div>
    <w:div w:id="1883714139">
      <w:bodyDiv w:val="1"/>
      <w:marLeft w:val="0"/>
      <w:marRight w:val="0"/>
      <w:marTop w:val="0"/>
      <w:marBottom w:val="0"/>
      <w:divBdr>
        <w:top w:val="none" w:sz="0" w:space="0" w:color="auto"/>
        <w:left w:val="none" w:sz="0" w:space="0" w:color="auto"/>
        <w:bottom w:val="none" w:sz="0" w:space="0" w:color="auto"/>
        <w:right w:val="none" w:sz="0" w:space="0" w:color="auto"/>
      </w:divBdr>
    </w:div>
    <w:div w:id="1947346749">
      <w:bodyDiv w:val="1"/>
      <w:marLeft w:val="0"/>
      <w:marRight w:val="0"/>
      <w:marTop w:val="0"/>
      <w:marBottom w:val="0"/>
      <w:divBdr>
        <w:top w:val="none" w:sz="0" w:space="0" w:color="auto"/>
        <w:left w:val="none" w:sz="0" w:space="0" w:color="auto"/>
        <w:bottom w:val="none" w:sz="0" w:space="0" w:color="auto"/>
        <w:right w:val="none" w:sz="0" w:space="0" w:color="auto"/>
      </w:divBdr>
    </w:div>
    <w:div w:id="1966308486">
      <w:bodyDiv w:val="1"/>
      <w:marLeft w:val="0"/>
      <w:marRight w:val="0"/>
      <w:marTop w:val="0"/>
      <w:marBottom w:val="0"/>
      <w:divBdr>
        <w:top w:val="none" w:sz="0" w:space="0" w:color="auto"/>
        <w:left w:val="none" w:sz="0" w:space="0" w:color="auto"/>
        <w:bottom w:val="none" w:sz="0" w:space="0" w:color="auto"/>
        <w:right w:val="none" w:sz="0" w:space="0" w:color="auto"/>
      </w:divBdr>
    </w:div>
    <w:div w:id="2057704928">
      <w:bodyDiv w:val="1"/>
      <w:marLeft w:val="0"/>
      <w:marRight w:val="0"/>
      <w:marTop w:val="0"/>
      <w:marBottom w:val="0"/>
      <w:divBdr>
        <w:top w:val="none" w:sz="0" w:space="0" w:color="auto"/>
        <w:left w:val="none" w:sz="0" w:space="0" w:color="auto"/>
        <w:bottom w:val="none" w:sz="0" w:space="0" w:color="auto"/>
        <w:right w:val="none" w:sz="0" w:space="0" w:color="auto"/>
      </w:divBdr>
    </w:div>
    <w:div w:id="2060395921">
      <w:bodyDiv w:val="1"/>
      <w:marLeft w:val="0"/>
      <w:marRight w:val="0"/>
      <w:marTop w:val="0"/>
      <w:marBottom w:val="0"/>
      <w:divBdr>
        <w:top w:val="none" w:sz="0" w:space="0" w:color="auto"/>
        <w:left w:val="none" w:sz="0" w:space="0" w:color="auto"/>
        <w:bottom w:val="none" w:sz="0" w:space="0" w:color="auto"/>
        <w:right w:val="none" w:sz="0" w:space="0" w:color="auto"/>
      </w:divBdr>
    </w:div>
    <w:div w:id="20893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C5E7-3FB1-40F2-89EA-824F4898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9271</Words>
  <Characters>50065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Miguel Serôdio</dc:creator>
  <cp:lastModifiedBy>Paula</cp:lastModifiedBy>
  <cp:revision>2</cp:revision>
  <dcterms:created xsi:type="dcterms:W3CDTF">2016-02-23T15:18:00Z</dcterms:created>
  <dcterms:modified xsi:type="dcterms:W3CDTF">2016-02-23T15:18:00Z</dcterms:modified>
</cp:coreProperties>
</file>